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tbl>
      <w:tblPr>
        <w:tblStyle w:val="Table1"/>
        <w:tblW w:w="9288.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1"/>
        <w:gridCol w:w="6777"/>
        <w:tblGridChange w:id="0">
          <w:tblGrid>
            <w:gridCol w:w="2511"/>
            <w:gridCol w:w="6777"/>
          </w:tblGrid>
        </w:tblGridChange>
      </w:tblGrid>
      <w:tr>
        <w:trPr>
          <w:cantSplit w:val="0"/>
          <w:trHeight w:val="180" w:hRule="atLeast"/>
          <w:tblHeader w:val="0"/>
        </w:trPr>
        <w:tc>
          <w:tcPr/>
          <w:p w:rsidR="00000000" w:rsidDel="00000000" w:rsidP="00000000" w:rsidRDefault="00000000" w:rsidRPr="00000000" w14:paraId="0000000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verzia</w:t>
            </w:r>
          </w:p>
        </w:tc>
        <w:tc>
          <w:tcPr/>
          <w:p w:rsidR="00000000" w:rsidDel="00000000" w:rsidP="00000000" w:rsidRDefault="00000000" w:rsidRPr="00000000" w14:paraId="0000000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02</w:t>
            </w:r>
          </w:p>
        </w:tc>
      </w:tr>
      <w:tr>
        <w:trPr>
          <w:cantSplit w:val="0"/>
          <w:tblHeader w:val="0"/>
        </w:trPr>
        <w:tc>
          <w:tcPr/>
          <w:p w:rsidR="00000000" w:rsidDel="00000000" w:rsidP="00000000" w:rsidRDefault="00000000" w:rsidRPr="00000000" w14:paraId="0000000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dátum platnosti</w:t>
            </w:r>
          </w:p>
        </w:tc>
        <w:tc>
          <w:tcPr/>
          <w:p w:rsidR="00000000" w:rsidDel="00000000" w:rsidP="00000000" w:rsidRDefault="00000000" w:rsidRPr="00000000" w14:paraId="0000000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9. 10. 2020</w:t>
            </w:r>
          </w:p>
        </w:tc>
      </w:tr>
      <w:tr>
        <w:trPr>
          <w:cantSplit w:val="0"/>
          <w:tblHeader w:val="0"/>
        </w:trPr>
        <w:tc>
          <w:tcPr/>
          <w:p w:rsidR="00000000" w:rsidDel="00000000" w:rsidP="00000000" w:rsidRDefault="00000000" w:rsidRPr="00000000" w14:paraId="0000000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dátum účinnosti</w:t>
            </w:r>
          </w:p>
        </w:tc>
        <w:tc>
          <w:tcPr/>
          <w:p w:rsidR="00000000" w:rsidDel="00000000" w:rsidP="00000000" w:rsidRDefault="00000000" w:rsidRPr="00000000" w14:paraId="0000000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16. 10. 2020</w:t>
            </w:r>
          </w:p>
        </w:tc>
      </w:tr>
      <w:tr>
        <w:trPr>
          <w:cantSplit w:val="0"/>
          <w:tblHeader w:val="0"/>
        </w:trPr>
        <w:tc>
          <w:tcPr/>
          <w:p w:rsidR="00000000" w:rsidDel="00000000" w:rsidP="00000000" w:rsidRDefault="00000000" w:rsidRPr="00000000" w14:paraId="0000000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schválil</w:t>
            </w:r>
          </w:p>
        </w:tc>
        <w:tc>
          <w:tcPr/>
          <w:p w:rsidR="00000000" w:rsidDel="00000000" w:rsidP="00000000" w:rsidRDefault="00000000" w:rsidRPr="00000000" w14:paraId="0000000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Predsedníčka RpV dňa 9. 10. 2020</w:t>
            </w:r>
          </w:p>
        </w:tc>
      </w:tr>
      <w:tr>
        <w:trPr>
          <w:cantSplit w:val="0"/>
          <w:tblHeader w:val="0"/>
        </w:trPr>
        <w:tc>
          <w:tcPr/>
          <w:p w:rsidR="00000000" w:rsidDel="00000000" w:rsidP="00000000" w:rsidRDefault="00000000" w:rsidRPr="00000000" w14:paraId="0000000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autor/navrhovateľ</w:t>
            </w:r>
          </w:p>
        </w:tc>
        <w:tc>
          <w:tcPr/>
          <w:p w:rsidR="00000000" w:rsidDel="00000000" w:rsidP="00000000" w:rsidRDefault="00000000" w:rsidRPr="00000000" w14:paraId="0000000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Tím GILŠ</w:t>
            </w:r>
          </w:p>
        </w:tc>
      </w:tr>
    </w:tbl>
    <w:p w:rsidR="00000000" w:rsidDel="00000000" w:rsidP="00000000" w:rsidRDefault="00000000" w:rsidRPr="00000000" w14:paraId="0000000C">
      <w:pPr>
        <w:pageBreakBefore w:val="0"/>
        <w:spacing w:after="0" w:line="240" w:lineRule="auto"/>
        <w:rPr/>
      </w:pPr>
      <w:r w:rsidDel="00000000" w:rsidR="00000000" w:rsidRPr="00000000">
        <w:rPr>
          <w:rtl w:val="0"/>
        </w:rPr>
      </w:r>
    </w:p>
    <w:p w:rsidR="00000000" w:rsidDel="00000000" w:rsidP="00000000" w:rsidRDefault="00000000" w:rsidRPr="00000000" w14:paraId="0000000D">
      <w:pPr>
        <w:pageBreakBefore w:val="0"/>
        <w:widowControl w:val="0"/>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E">
      <w:pPr>
        <w:pageBreakBefore w:val="0"/>
        <w:widowControl w:val="0"/>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pageBreakBefore w:val="0"/>
        <w:widowControl w:val="0"/>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0">
      <w:pPr>
        <w:pageBreakBefore w:val="0"/>
        <w:widowControl w:val="0"/>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1">
      <w:pPr>
        <w:pageBreakBefore w:val="0"/>
        <w:widowControl w:val="0"/>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2">
      <w:pPr>
        <w:pageBreakBefore w:val="0"/>
        <w:widowControl w:val="0"/>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Interná smernica RpV č. 04</w:t>
      </w:r>
    </w:p>
    <w:p w:rsidR="00000000" w:rsidDel="00000000" w:rsidP="00000000" w:rsidRDefault="00000000" w:rsidRPr="00000000" w14:paraId="00000013">
      <w:pPr>
        <w:pageBreakBefore w:val="0"/>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OBSAHOVÁ NÁPLŇ GILWELLSKEJ INŠTRUKTORSKEJ LESNEJ ŠKOLY</w:t>
      </w:r>
    </w:p>
    <w:p w:rsidR="00000000" w:rsidDel="00000000" w:rsidP="00000000" w:rsidRDefault="00000000" w:rsidRPr="00000000" w14:paraId="00000014">
      <w:pPr>
        <w:pageBreakBefore w:val="0"/>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w:t>
      </w:r>
    </w:p>
    <w:p w:rsidR="00000000" w:rsidDel="00000000" w:rsidP="00000000" w:rsidRDefault="00000000" w:rsidRPr="00000000" w14:paraId="00000015">
      <w:pPr>
        <w:pageBreakBefore w:val="0"/>
        <w:spacing w:after="0" w:line="240" w:lineRule="auto"/>
        <w:jc w:val="center"/>
        <w:rPr/>
      </w:pPr>
      <w:r w:rsidDel="00000000" w:rsidR="00000000" w:rsidRPr="00000000">
        <w:rPr>
          <w:rFonts w:ascii="Arial" w:cs="Arial" w:eastAsia="Arial" w:hAnsi="Arial"/>
          <w:b w:val="1"/>
          <w:sz w:val="36"/>
          <w:szCs w:val="36"/>
          <w:rtl w:val="0"/>
        </w:rPr>
        <w:t xml:space="preserve">KOMPETENČNÝ PROFIL PRE HODNOSŤ INŠTRUKTOR</w:t>
      </w:r>
      <w:r w:rsidDel="00000000" w:rsidR="00000000" w:rsidRPr="00000000">
        <w:br w:type="page"/>
      </w:r>
      <w:r w:rsidDel="00000000" w:rsidR="00000000" w:rsidRPr="00000000">
        <w:rPr>
          <w:rtl w:val="0"/>
        </w:rPr>
      </w:r>
    </w:p>
    <w:tbl>
      <w:tblPr>
        <w:tblStyle w:val="Table2"/>
        <w:tblW w:w="9212.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2339"/>
        <w:gridCol w:w="2339"/>
        <w:gridCol w:w="2725"/>
        <w:tblGridChange w:id="0">
          <w:tblGrid>
            <w:gridCol w:w="1809"/>
            <w:gridCol w:w="2339"/>
            <w:gridCol w:w="2339"/>
            <w:gridCol w:w="2725"/>
          </w:tblGrid>
        </w:tblGridChange>
      </w:tblGrid>
      <w:tr>
        <w:trPr>
          <w:cantSplit w:val="0"/>
          <w:tblHeader w:val="0"/>
        </w:trPr>
        <w:tc>
          <w:tcPr>
            <w:gridSpan w:val="4"/>
          </w:tcPr>
          <w:p w:rsidR="00000000" w:rsidDel="00000000" w:rsidP="00000000" w:rsidRDefault="00000000" w:rsidRPr="00000000" w14:paraId="00000016">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História predošlých verzií</w:t>
            </w:r>
          </w:p>
        </w:tc>
      </w:tr>
      <w:tr>
        <w:trPr>
          <w:cantSplit w:val="0"/>
          <w:trHeight w:val="260" w:hRule="atLeast"/>
          <w:tblHeader w:val="0"/>
        </w:trPr>
        <w:tc>
          <w:tcPr>
            <w:vAlign w:val="center"/>
          </w:tcPr>
          <w:p w:rsidR="00000000" w:rsidDel="00000000" w:rsidP="00000000" w:rsidRDefault="00000000" w:rsidRPr="00000000" w14:paraId="0000001A">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číslo verzie</w:t>
            </w:r>
          </w:p>
        </w:tc>
        <w:tc>
          <w:tcPr>
            <w:vAlign w:val="center"/>
          </w:tcPr>
          <w:p w:rsidR="00000000" w:rsidDel="00000000" w:rsidP="00000000" w:rsidRDefault="00000000" w:rsidRPr="00000000" w14:paraId="0000001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účinnosť od</w:t>
            </w:r>
          </w:p>
        </w:tc>
        <w:tc>
          <w:tcPr>
            <w:vAlign w:val="center"/>
          </w:tcPr>
          <w:p w:rsidR="00000000" w:rsidDel="00000000" w:rsidP="00000000" w:rsidRDefault="00000000" w:rsidRPr="00000000" w14:paraId="0000001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účinnosť do</w:t>
            </w:r>
          </w:p>
        </w:tc>
        <w:tc>
          <w:tcPr>
            <w:vAlign w:val="center"/>
          </w:tcPr>
          <w:p w:rsidR="00000000" w:rsidDel="00000000" w:rsidP="00000000" w:rsidRDefault="00000000" w:rsidRPr="00000000" w14:paraId="0000001D">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autor</w:t>
            </w:r>
          </w:p>
        </w:tc>
      </w:tr>
      <w:tr>
        <w:trPr>
          <w:cantSplit w:val="0"/>
          <w:trHeight w:val="260" w:hRule="atLeast"/>
          <w:tblHeader w:val="0"/>
        </w:trPr>
        <w:tc>
          <w:tcPr/>
          <w:p w:rsidR="00000000" w:rsidDel="00000000" w:rsidP="00000000" w:rsidRDefault="00000000" w:rsidRPr="00000000" w14:paraId="0000001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01</w:t>
            </w:r>
          </w:p>
        </w:tc>
        <w:tc>
          <w:tcPr/>
          <w:p w:rsidR="00000000" w:rsidDel="00000000" w:rsidP="00000000" w:rsidRDefault="00000000" w:rsidRPr="00000000" w14:paraId="0000001F">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16. 10. 2020</w:t>
            </w:r>
          </w:p>
        </w:tc>
        <w:tc>
          <w:tcPr/>
          <w:p w:rsidR="00000000" w:rsidDel="00000000" w:rsidP="00000000" w:rsidRDefault="00000000" w:rsidRPr="00000000" w14:paraId="00000021">
            <w:pPr>
              <w:pageBreakBefore w:val="0"/>
              <w:rPr>
                <w:rFonts w:ascii="Arial" w:cs="Arial" w:eastAsia="Arial" w:hAnsi="Arial"/>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02</w:t>
            </w:r>
          </w:p>
        </w:tc>
        <w:tc>
          <w:tcPr/>
          <w:p w:rsidR="00000000" w:rsidDel="00000000" w:rsidP="00000000" w:rsidRDefault="00000000" w:rsidRPr="00000000" w14:paraId="0000002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16. 10. 2020</w:t>
            </w:r>
          </w:p>
        </w:tc>
        <w:tc>
          <w:tcPr/>
          <w:p w:rsidR="00000000" w:rsidDel="00000000" w:rsidP="00000000" w:rsidRDefault="00000000" w:rsidRPr="00000000" w14:paraId="00000024">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Tím GILŠ</w:t>
            </w:r>
          </w:p>
        </w:tc>
      </w:tr>
      <w:tr>
        <w:trPr>
          <w:cantSplit w:val="0"/>
          <w:trHeight w:val="260" w:hRule="atLeast"/>
          <w:tblHeader w:val="0"/>
        </w:trPr>
        <w:tc>
          <w:tcPr/>
          <w:p w:rsidR="00000000" w:rsidDel="00000000" w:rsidP="00000000" w:rsidRDefault="00000000" w:rsidRPr="00000000" w14:paraId="0000002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03</w:t>
            </w:r>
          </w:p>
        </w:tc>
        <w:tc>
          <w:tcPr/>
          <w:p w:rsidR="00000000" w:rsidDel="00000000" w:rsidP="00000000" w:rsidRDefault="00000000" w:rsidRPr="00000000" w14:paraId="00000027">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8">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9">
            <w:pPr>
              <w:pageBreakBefore w:val="0"/>
              <w:rPr>
                <w:rFonts w:ascii="Arial" w:cs="Arial" w:eastAsia="Arial" w:hAnsi="Arial"/>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A">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B">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C">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D">
            <w:pPr>
              <w:pageBreakBefore w:val="0"/>
              <w:rPr>
                <w:rFonts w:ascii="Arial" w:cs="Arial" w:eastAsia="Arial" w:hAnsi="Arial"/>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E">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F">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0">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1">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2">
      <w:pPr>
        <w:pageBreakBefore w:val="0"/>
        <w:spacing w:after="0" w:line="240" w:lineRule="auto"/>
        <w:rPr>
          <w:rFonts w:ascii="Arial" w:cs="Arial" w:eastAsia="Arial" w:hAnsi="Arial"/>
          <w:sz w:val="20"/>
          <w:szCs w:val="20"/>
        </w:rPr>
      </w:pPr>
      <w:r w:rsidDel="00000000" w:rsidR="00000000" w:rsidRPr="00000000">
        <w:rPr>
          <w:rtl w:val="0"/>
        </w:rPr>
      </w:r>
    </w:p>
    <w:tbl>
      <w:tblPr>
        <w:tblStyle w:val="Table3"/>
        <w:tblW w:w="9212.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5812"/>
        <w:gridCol w:w="1591"/>
        <w:tblGridChange w:id="0">
          <w:tblGrid>
            <w:gridCol w:w="1809"/>
            <w:gridCol w:w="5812"/>
            <w:gridCol w:w="1591"/>
          </w:tblGrid>
        </w:tblGridChange>
      </w:tblGrid>
      <w:tr>
        <w:trPr>
          <w:cantSplit w:val="0"/>
          <w:tblHeader w:val="0"/>
        </w:trPr>
        <w:tc>
          <w:tcPr>
            <w:gridSpan w:val="3"/>
          </w:tcPr>
          <w:p w:rsidR="00000000" w:rsidDel="00000000" w:rsidP="00000000" w:rsidRDefault="00000000" w:rsidRPr="00000000" w14:paraId="0000003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Zoznam príloh</w:t>
            </w:r>
          </w:p>
        </w:tc>
      </w:tr>
      <w:tr>
        <w:trPr>
          <w:cantSplit w:val="0"/>
          <w:trHeight w:val="260" w:hRule="atLeast"/>
          <w:tblHeader w:val="0"/>
        </w:trPr>
        <w:tc>
          <w:tcPr>
            <w:vAlign w:val="center"/>
          </w:tcPr>
          <w:p w:rsidR="00000000" w:rsidDel="00000000" w:rsidP="00000000" w:rsidRDefault="00000000" w:rsidRPr="00000000" w14:paraId="00000036">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číslo</w:t>
            </w:r>
          </w:p>
        </w:tc>
        <w:tc>
          <w:tcPr>
            <w:vAlign w:val="center"/>
          </w:tcPr>
          <w:p w:rsidR="00000000" w:rsidDel="00000000" w:rsidP="00000000" w:rsidRDefault="00000000" w:rsidRPr="00000000" w14:paraId="0000003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názov prílohy</w:t>
            </w:r>
          </w:p>
        </w:tc>
        <w:tc>
          <w:tcPr>
            <w:vAlign w:val="center"/>
          </w:tcPr>
          <w:p w:rsidR="00000000" w:rsidDel="00000000" w:rsidP="00000000" w:rsidRDefault="00000000" w:rsidRPr="00000000" w14:paraId="00000038">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počet strán</w:t>
            </w:r>
          </w:p>
        </w:tc>
      </w:tr>
      <w:tr>
        <w:trPr>
          <w:cantSplit w:val="0"/>
          <w:trHeight w:val="260" w:hRule="atLeast"/>
          <w:tblHeader w:val="0"/>
        </w:trPr>
        <w:tc>
          <w:tcPr>
            <w:vAlign w:val="center"/>
          </w:tcPr>
          <w:p w:rsidR="00000000" w:rsidDel="00000000" w:rsidP="00000000" w:rsidRDefault="00000000" w:rsidRPr="00000000" w14:paraId="0000003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01</w:t>
            </w:r>
          </w:p>
        </w:tc>
        <w:tc>
          <w:tcPr>
            <w:vAlign w:val="center"/>
          </w:tcPr>
          <w:p w:rsidR="00000000" w:rsidDel="00000000" w:rsidP="00000000" w:rsidRDefault="00000000" w:rsidRPr="00000000" w14:paraId="0000003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Obsahové náplne a kompetenčný profil pre hodnosť inštruktor</w:t>
            </w:r>
          </w:p>
        </w:tc>
        <w:tc>
          <w:tcPr>
            <w:vAlign w:val="center"/>
          </w:tcPr>
          <w:p w:rsidR="00000000" w:rsidDel="00000000" w:rsidP="00000000" w:rsidRDefault="00000000" w:rsidRPr="00000000" w14:paraId="0000003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cantSplit w:val="0"/>
          <w:trHeight w:val="260" w:hRule="atLeast"/>
          <w:tblHeader w:val="0"/>
        </w:trPr>
        <w:tc>
          <w:tcPr>
            <w:vAlign w:val="center"/>
          </w:tcPr>
          <w:p w:rsidR="00000000" w:rsidDel="00000000" w:rsidP="00000000" w:rsidRDefault="00000000" w:rsidRPr="00000000" w14:paraId="0000003C">
            <w:pPr>
              <w:pageBreakBefore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3D">
            <w:pPr>
              <w:pageBreakBefore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3E">
            <w:pPr>
              <w:pageBreakBefore w:val="0"/>
              <w:jc w:val="center"/>
              <w:rPr>
                <w:rFonts w:ascii="Arial" w:cs="Arial" w:eastAsia="Arial" w:hAnsi="Arial"/>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F">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0">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1">
            <w:pPr>
              <w:pageBreakBefore w:val="0"/>
              <w:rPr>
                <w:rFonts w:ascii="Arial" w:cs="Arial" w:eastAsia="Arial" w:hAnsi="Arial"/>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42">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3">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4">
            <w:pPr>
              <w:pageBreakBefore w:val="0"/>
              <w:rPr>
                <w:rFonts w:ascii="Arial" w:cs="Arial" w:eastAsia="Arial" w:hAnsi="Arial"/>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45">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6">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7">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8">
      <w:pPr>
        <w:pageBreakBefore w:val="0"/>
        <w:spacing w:after="0" w:line="240"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9">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PREAMBULA</w:t>
      </w:r>
    </w:p>
    <w:p w:rsidR="00000000" w:rsidDel="00000000" w:rsidP="00000000" w:rsidRDefault="00000000" w:rsidRPr="00000000" w14:paraId="0000004A">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Rada pre vzdelávanie (ďalej len „RpV“) v súlade s Organizačným poriadkom, Kapitolou 8 vydáva Internú smernicu RpV č. 04 (ďalej len „IS“) – Obsahová náplň Gilwellskej inštruktorskej lesnej školy (ďalej len „GILŠ”) a kompetenčný profil pre hodnosť inštruktor.</w:t>
      </w:r>
    </w:p>
    <w:p w:rsidR="00000000" w:rsidDel="00000000" w:rsidP="00000000" w:rsidRDefault="00000000" w:rsidRPr="00000000" w14:paraId="0000004C">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ÚVODNÉ USTANOVENIA</w:t>
      </w:r>
    </w:p>
    <w:p w:rsidR="00000000" w:rsidDel="00000000" w:rsidP="00000000" w:rsidRDefault="00000000" w:rsidRPr="00000000" w14:paraId="0000004E">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pageBreakBefore w:val="0"/>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 Účel vydania IS</w:t>
      </w:r>
    </w:p>
    <w:p w:rsidR="00000000" w:rsidDel="00000000" w:rsidP="00000000" w:rsidRDefault="00000000" w:rsidRPr="00000000" w14:paraId="00000050">
      <w:pPr>
        <w:pageBreakBefore w:val="0"/>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Cieľom</w:t>
      </w:r>
      <w:r w:rsidDel="00000000" w:rsidR="00000000" w:rsidRPr="00000000">
        <w:rPr>
          <w:rFonts w:ascii="Arial" w:cs="Arial" w:eastAsia="Arial" w:hAnsi="Arial"/>
          <w:color w:val="000000"/>
          <w:sz w:val="20"/>
          <w:szCs w:val="20"/>
          <w:rtl w:val="0"/>
        </w:rPr>
        <w:t xml:space="preserve"> vydania t</w:t>
      </w:r>
      <w:r w:rsidDel="00000000" w:rsidR="00000000" w:rsidRPr="00000000">
        <w:rPr>
          <w:rFonts w:ascii="Arial" w:cs="Arial" w:eastAsia="Arial" w:hAnsi="Arial"/>
          <w:sz w:val="20"/>
          <w:szCs w:val="20"/>
          <w:rtl w:val="0"/>
        </w:rPr>
        <w:t xml:space="preserve">ejto</w:t>
      </w:r>
      <w:r w:rsidDel="00000000" w:rsidR="00000000" w:rsidRPr="00000000">
        <w:rPr>
          <w:rFonts w:ascii="Arial" w:cs="Arial" w:eastAsia="Arial" w:hAnsi="Arial"/>
          <w:color w:val="000000"/>
          <w:sz w:val="20"/>
          <w:szCs w:val="20"/>
          <w:rtl w:val="0"/>
        </w:rPr>
        <w:t xml:space="preserve"> I</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 je zjednotenie obsahových nápln</w:t>
      </w:r>
      <w:r w:rsidDel="00000000" w:rsidR="00000000" w:rsidRPr="00000000">
        <w:rPr>
          <w:rFonts w:ascii="Arial" w:cs="Arial" w:eastAsia="Arial" w:hAnsi="Arial"/>
          <w:sz w:val="20"/>
          <w:szCs w:val="20"/>
          <w:rtl w:val="0"/>
        </w:rPr>
        <w:t xml:space="preserve">í a kompetenčného profilu pre hodnosť Inštruktor. </w:t>
      </w:r>
    </w:p>
    <w:p w:rsidR="00000000" w:rsidDel="00000000" w:rsidP="00000000" w:rsidRDefault="00000000" w:rsidRPr="00000000" w14:paraId="00000051">
      <w:pPr>
        <w:pageBreakBefore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VŠEOBECNÉ A OSOBITNÉ USTANOVENIA</w:t>
      </w:r>
    </w:p>
    <w:p w:rsidR="00000000" w:rsidDel="00000000" w:rsidP="00000000" w:rsidRDefault="00000000" w:rsidRPr="00000000" w14:paraId="00000053">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pageBreakBefore w:val="0"/>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 Časové dotácie tém</w:t>
      </w:r>
    </w:p>
    <w:p w:rsidR="00000000" w:rsidDel="00000000" w:rsidP="00000000" w:rsidRDefault="00000000" w:rsidRPr="00000000" w14:paraId="00000055">
      <w:pPr>
        <w:pageBreakBefore w:val="0"/>
        <w:numPr>
          <w:ilvl w:val="0"/>
          <w:numId w:val="6"/>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Uvedené časové dotácie pri témach sú minimálne. Vzdelávací tím GILŠ si ich môže podľa potreby navýšiť.</w:t>
      </w:r>
    </w:p>
    <w:p w:rsidR="00000000" w:rsidDel="00000000" w:rsidP="00000000" w:rsidRDefault="00000000" w:rsidRPr="00000000" w14:paraId="00000056">
      <w:pPr>
        <w:pageBreakBefore w:val="0"/>
        <w:numPr>
          <w:ilvl w:val="0"/>
          <w:numId w:val="6"/>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Vzdelávací tím pripravuje vzdelávaciu zložku GILŠ podľa nasledujúceho kľúča pre časovú dotáciu:</w:t>
      </w:r>
    </w:p>
    <w:p w:rsidR="00000000" w:rsidDel="00000000" w:rsidP="00000000" w:rsidRDefault="00000000" w:rsidRPr="00000000" w14:paraId="00000057">
      <w:pPr>
        <w:pageBreakBefore w:val="0"/>
        <w:numPr>
          <w:ilvl w:val="0"/>
          <w:numId w:val="4"/>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min. 35 hodín povinných tém obsahovej náplne</w:t>
      </w:r>
    </w:p>
    <w:p w:rsidR="00000000" w:rsidDel="00000000" w:rsidP="00000000" w:rsidRDefault="00000000" w:rsidRPr="00000000" w14:paraId="00000058">
      <w:pPr>
        <w:pageBreakBefore w:val="0"/>
        <w:numPr>
          <w:ilvl w:val="0"/>
          <w:numId w:val="4"/>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min. 2 hodiny povinne voliteľných tém (vzdelávací tím si vyberie z tém, ktoré sú uvedené v prílohe tejto internej smernice alebo podľa vlastných potrieb pripraví tému, ktorú chce zaradiť do povinne voliteľných tém. Tú predloží predsedovi RpV na doplnenie do prílohy, aby sa tak stala súčasťou ponuky aj pre iné vzdelávacie tímy). Povinne voliteľné témy sú prostriedkom na ďalší rozvoj účastníkov GILŠ a zároveň dávajú možnosť špecializovať sa na konkrétnu oblasť.</w:t>
      </w:r>
    </w:p>
    <w:p w:rsidR="00000000" w:rsidDel="00000000" w:rsidP="00000000" w:rsidRDefault="00000000" w:rsidRPr="00000000" w14:paraId="00000059">
      <w:pPr>
        <w:pageBreakBefore w:val="0"/>
        <w:spacing w:after="0" w:line="240"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pageBreakBefore w:val="0"/>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III. Obsahové náplne Gilwellskej inštruktorskej lesnej školy a kompetenčný profil jej absolventa</w:t>
      </w:r>
    </w:p>
    <w:p w:rsidR="00000000" w:rsidDel="00000000" w:rsidP="00000000" w:rsidRDefault="00000000" w:rsidRPr="00000000" w14:paraId="0000005B">
      <w:pPr>
        <w:pageBreakBefore w:val="0"/>
        <w:numPr>
          <w:ilvl w:val="0"/>
          <w:numId w:val="11"/>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Každá téma obsahuje:</w:t>
      </w:r>
    </w:p>
    <w:p w:rsidR="00000000" w:rsidDel="00000000" w:rsidP="00000000" w:rsidRDefault="00000000" w:rsidRPr="00000000" w14:paraId="0000005C">
      <w:pPr>
        <w:pageBreakBefore w:val="0"/>
        <w:numPr>
          <w:ilvl w:val="0"/>
          <w:numId w:val="5"/>
        </w:numPr>
        <w:spacing w:after="0" w:line="24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názov témy</w:t>
      </w:r>
    </w:p>
    <w:p w:rsidR="00000000" w:rsidDel="00000000" w:rsidP="00000000" w:rsidRDefault="00000000" w:rsidRPr="00000000" w14:paraId="0000005D">
      <w:pPr>
        <w:pageBreakBefore w:val="0"/>
        <w:numPr>
          <w:ilvl w:val="0"/>
          <w:numId w:val="5"/>
        </w:numPr>
        <w:spacing w:after="0" w:line="24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 časovú dotáciu</w:t>
      </w:r>
    </w:p>
    <w:p w:rsidR="00000000" w:rsidDel="00000000" w:rsidP="00000000" w:rsidRDefault="00000000" w:rsidRPr="00000000" w14:paraId="0000005E">
      <w:pPr>
        <w:pageBreakBefore w:val="0"/>
        <w:numPr>
          <w:ilvl w:val="0"/>
          <w:numId w:val="5"/>
        </w:numPr>
        <w:spacing w:after="0" w:line="24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konkrétnu obsahovú náplň </w:t>
      </w:r>
    </w:p>
    <w:p w:rsidR="00000000" w:rsidDel="00000000" w:rsidP="00000000" w:rsidRDefault="00000000" w:rsidRPr="00000000" w14:paraId="0000005F">
      <w:pPr>
        <w:pageBreakBefore w:val="0"/>
        <w:numPr>
          <w:ilvl w:val="0"/>
          <w:numId w:val="5"/>
        </w:numPr>
        <w:spacing w:after="0" w:line="24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kompetencie pre danú tému</w:t>
      </w:r>
    </w:p>
    <w:p w:rsidR="00000000" w:rsidDel="00000000" w:rsidP="00000000" w:rsidRDefault="00000000" w:rsidRPr="00000000" w14:paraId="00000060">
      <w:pPr>
        <w:pageBreakBefore w:val="0"/>
        <w:numPr>
          <w:ilvl w:val="0"/>
          <w:numId w:val="5"/>
        </w:numPr>
        <w:spacing w:after="0" w:line="24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spôsob overenia</w:t>
      </w:r>
    </w:p>
    <w:p w:rsidR="00000000" w:rsidDel="00000000" w:rsidP="00000000" w:rsidRDefault="00000000" w:rsidRPr="00000000" w14:paraId="00000061">
      <w:pPr>
        <w:pageBreakBefore w:val="0"/>
        <w:numPr>
          <w:ilvl w:val="0"/>
          <w:numId w:val="11"/>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Obsahové náplne a kompetenčný profil pre hodnosť Inštruktor sú uvedené v tabuľke Prílohy 1 tohto dokumentu.</w:t>
      </w:r>
    </w:p>
    <w:p w:rsidR="00000000" w:rsidDel="00000000" w:rsidP="00000000" w:rsidRDefault="00000000" w:rsidRPr="00000000" w14:paraId="00000062">
      <w:pPr>
        <w:pageBreakBefore w:val="0"/>
        <w:numPr>
          <w:ilvl w:val="0"/>
          <w:numId w:val="1"/>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Formulár Potvrdenie o ukončení inštruktorskej činnosti, Potvrdenie o ukončení Gilwellskej inštruktorskej lesnej  školy a Potvrdenie o splnení podmienok účasti na inštruktorskej skúške bez absolvovania Gilwellskej inštruktorskej lesnej  školy majú vzdelávacie tímy dostupné v podkladoch RpV. Formuláre zároveň na vyžiadanie posiela tajomník RpV.</w:t>
      </w:r>
    </w:p>
    <w:p w:rsidR="00000000" w:rsidDel="00000000" w:rsidP="00000000" w:rsidRDefault="00000000" w:rsidRPr="00000000" w14:paraId="00000063">
      <w:pPr>
        <w:pageBreakBefore w:val="0"/>
        <w:numPr>
          <w:ilvl w:val="0"/>
          <w:numId w:val="1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Vzdelávací tím GILŠ môže do obsahovej náplne zaradiť aj témy, ktoré sú vhodné a dôležité pre úspešnú prácu inštruktora či absolventa v jeho osobnom živote, bez ohľadu na to, či sa budú skúšať alebo nie. </w:t>
      </w:r>
    </w:p>
    <w:p w:rsidR="00000000" w:rsidDel="00000000" w:rsidP="00000000" w:rsidRDefault="00000000" w:rsidRPr="00000000" w14:paraId="00000064">
      <w:pPr>
        <w:pageBreakBefore w:val="0"/>
        <w:numPr>
          <w:ilvl w:val="0"/>
          <w:numId w:val="11"/>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Formy overenia sú:</w:t>
      </w:r>
    </w:p>
    <w:p w:rsidR="00000000" w:rsidDel="00000000" w:rsidP="00000000" w:rsidRDefault="00000000" w:rsidRPr="00000000" w14:paraId="00000065">
      <w:pPr>
        <w:pageBreakBefore w:val="0"/>
        <w:numPr>
          <w:ilvl w:val="0"/>
          <w:numId w:val="10"/>
        </w:numPr>
        <w:spacing w:after="0" w:line="24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 - Vzdelávací tím sám určuje spôsob sledovania nadobúdania kompetencie účastníkmi GILŠ: praktické zadanie, diskusia, aktivity, samoštúdium, kladenie otázok počas prednášky a spätná väzba od účastníkov prednášky atď. Nadobudnutie týchto kompetencií sa potvrdzuje podpísaním Potvrdenia o absolvovaní GILŠ. V prípade účasti na inštruktorských skúškach bez absolvovania GILŠ odporúča osoba daná kapitolou 8 OP SLSK.</w:t>
      </w:r>
    </w:p>
    <w:p w:rsidR="00000000" w:rsidDel="00000000" w:rsidP="00000000" w:rsidRDefault="00000000" w:rsidRPr="00000000" w14:paraId="00000066">
      <w:pPr>
        <w:pageBreakBefore w:val="0"/>
        <w:numPr>
          <w:ilvl w:val="0"/>
          <w:numId w:val="10"/>
        </w:numPr>
        <w:spacing w:after="0" w:line="24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Inštruktorská činnosť - Kompetencie účastníci nadobúdajú prostredníctvom realizácie inštruktorskej činnosti. Nadobudnutie týchto kompetencií sa potvrdzuje podpísaním Potvrdenia o ukončení inštruktorskej činnosti kandidáta na inštruktorskú skúšku.</w:t>
      </w:r>
    </w:p>
    <w:p w:rsidR="00000000" w:rsidDel="00000000" w:rsidP="00000000" w:rsidRDefault="00000000" w:rsidRPr="00000000" w14:paraId="00000067">
      <w:pPr>
        <w:pageBreakBefore w:val="0"/>
        <w:numPr>
          <w:ilvl w:val="0"/>
          <w:numId w:val="10"/>
        </w:numPr>
        <w:spacing w:after="0" w:line="24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Skúšky: teoretická otázka/modelová situácia - Nadobudnutie kompetencie sa deklaruje pred skúšobnou komisiou. Konkrétnu formu inštruktorskej skúšky určuje vzdelávací tím GILŠ po dohode s predsedom RpV. V prípade záujemcov o inštruktorské skúšky bez absolvovania GILŠ o podobe skúšok rozhoduje predseda RpV po dohode so skúšobnou komisiou.</w:t>
      </w:r>
    </w:p>
    <w:p w:rsidR="00000000" w:rsidDel="00000000" w:rsidP="00000000" w:rsidRDefault="00000000" w:rsidRPr="00000000" w14:paraId="00000068">
      <w:pPr>
        <w:pageBreakBefore w:val="0"/>
        <w:numPr>
          <w:ilvl w:val="0"/>
          <w:numId w:val="10"/>
        </w:numPr>
        <w:spacing w:after="0" w:line="24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Praktické zadanie na skúškach.</w:t>
      </w:r>
    </w:p>
    <w:p w:rsidR="00000000" w:rsidDel="00000000" w:rsidP="00000000" w:rsidRDefault="00000000" w:rsidRPr="00000000" w14:paraId="00000069">
      <w:pPr>
        <w:pageBreakBefore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ZÁVEREČNÉ A ZRUŠOVACIE USTANOVENIA</w:t>
      </w:r>
    </w:p>
    <w:p w:rsidR="00000000" w:rsidDel="00000000" w:rsidP="00000000" w:rsidRDefault="00000000" w:rsidRPr="00000000" w14:paraId="0000006B">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pageBreakBefore w:val="0"/>
        <w:numPr>
          <w:ilvl w:val="0"/>
          <w:numId w:val="7"/>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Táto interná smernica je záväzná pre všetkých členov SLSK.</w:t>
      </w:r>
    </w:p>
    <w:p w:rsidR="00000000" w:rsidDel="00000000" w:rsidP="00000000" w:rsidRDefault="00000000" w:rsidRPr="00000000" w14:paraId="0000006D">
      <w:pPr>
        <w:pageBreakBefore w:val="0"/>
        <w:numPr>
          <w:ilvl w:val="0"/>
          <w:numId w:val="7"/>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Výnimku z konkrétnych bodov môže udeliť predseda RpV po dohode s GILŠ tímom.</w:t>
      </w:r>
    </w:p>
    <w:p w:rsidR="00000000" w:rsidDel="00000000" w:rsidP="00000000" w:rsidRDefault="00000000" w:rsidRPr="00000000" w14:paraId="0000006E">
      <w:pPr>
        <w:pageBreakBefore w:val="0"/>
        <w:numPr>
          <w:ilvl w:val="0"/>
          <w:numId w:val="7"/>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Dátumom účinnosti tejto internej smernice ruší predošlá verzia Internej smernice RpV Obsahová náplň.</w:t>
      </w:r>
    </w:p>
    <w:p w:rsidR="00000000" w:rsidDel="00000000" w:rsidP="00000000" w:rsidRDefault="00000000" w:rsidRPr="00000000" w14:paraId="0000006F">
      <w:pPr>
        <w:pageBreakBefore w:val="0"/>
        <w:spacing w:after="0" w:line="240"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0">
      <w:pPr>
        <w:pageBreakBefore w:val="0"/>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Príloha č. 01: Obsahové náplne a kompetenčná profil pre hodnosť inštruktor</w:t>
      </w:r>
    </w:p>
    <w:p w:rsidR="00000000" w:rsidDel="00000000" w:rsidP="00000000" w:rsidRDefault="00000000" w:rsidRPr="00000000" w14:paraId="00000071">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4"/>
        <w:tblW w:w="10410.0" w:type="dxa"/>
        <w:jc w:val="left"/>
        <w:tblInd w:w="-4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55"/>
        <w:gridCol w:w="405"/>
        <w:gridCol w:w="2550"/>
        <w:tblGridChange w:id="0">
          <w:tblGrid>
            <w:gridCol w:w="7455"/>
            <w:gridCol w:w="405"/>
            <w:gridCol w:w="2550"/>
          </w:tblGrid>
        </w:tblGridChange>
      </w:tblGrid>
      <w:tr>
        <w:trPr>
          <w:cantSplit w:val="0"/>
          <w:trHeight w:val="420" w:hRule="atLeast"/>
          <w:tblHeader w:val="0"/>
        </w:trPr>
        <w:tc>
          <w:tcPr>
            <w:gridSpan w:val="3"/>
            <w:tcBorders>
              <w:top w:color="000000" w:space="0" w:sz="6" w:val="single"/>
              <w:left w:color="000000" w:space="0" w:sz="6" w:val="single"/>
              <w:bottom w:color="000000" w:space="0" w:sz="4"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Prierezové kompetencie</w:t>
            </w:r>
          </w:p>
        </w:tc>
      </w:tr>
      <w:tr>
        <w:trPr>
          <w:cantSplit w:val="0"/>
          <w:trHeight w:val="420" w:hRule="atLeast"/>
          <w:tblHeader w:val="0"/>
        </w:trPr>
        <w:tc>
          <w:tcPr>
            <w:gridSpan w:val="3"/>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75">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Inštruktor:</w:t>
            </w:r>
          </w:p>
        </w:tc>
      </w:tr>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78">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Vystupuje ako zástupca skautského hnutia a vie sa vhodne vyjadriť k vybranej téme aktuálnej pre organizáciu alebo spoločnosť</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pageBreakBefore w:val="0"/>
              <w:widowControl w:val="0"/>
              <w:spacing w:after="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07B">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 - modelová situácia</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Šíri myšlienky skautského hnutia a dokáže zhodnotiť napĺňanie pilierov v SLSK.</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pageBreakBefore w:val="0"/>
              <w:widowControl w:val="0"/>
              <w:spacing w:after="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Svojou činnosťou aktívne prispieva k pozitívnemu rozvoju organizácie.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pageBreakBefore w:val="0"/>
              <w:widowControl w:val="0"/>
              <w:spacing w:after="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inštruktorská činnosť</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Rozumie a šíri povedomie o význame a hodnote dobrovoľníckej činnosti.</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pageBreakBefore w:val="0"/>
              <w:widowControl w:val="0"/>
              <w:spacing w:after="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pripraviť, viesť a vyhodnotiť inštruktorský projekt. Rozumie prínosu inštruktorských projektov pre oblastnú a národnú úroveň SLSK.</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pageBreakBefore w:val="0"/>
              <w:widowControl w:val="0"/>
              <w:spacing w:after="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pageBreakBefore w:val="0"/>
              <w:widowControl w:val="0"/>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inštruktorská činnosť</w:t>
            </w:r>
          </w:p>
        </w:tc>
      </w:tr>
    </w:tbl>
    <w:p w:rsidR="00000000" w:rsidDel="00000000" w:rsidP="00000000" w:rsidRDefault="00000000" w:rsidRPr="00000000" w14:paraId="00000088">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5"/>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89">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Osobnosť inštruktora a jeho životný štýl</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B">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poslanie, úlohy a postavenie inštruktora, jeho oprávnenia a povinnosti</w:t>
            </w:r>
          </w:p>
          <w:p w:rsidR="00000000" w:rsidDel="00000000" w:rsidP="00000000" w:rsidRDefault="00000000" w:rsidRPr="00000000" w14:paraId="0000008C">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inštruktor ako vzor a vzory hodné nasledovania</w:t>
            </w:r>
          </w:p>
          <w:p w:rsidR="00000000" w:rsidDel="00000000" w:rsidP="00000000" w:rsidRDefault="00000000" w:rsidRPr="00000000" w14:paraId="0000008D">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rôzne prístupy k rozvoju osobnosti/líderstva: serving leadership...</w:t>
            </w:r>
          </w:p>
          <w:p w:rsidR="00000000" w:rsidDel="00000000" w:rsidP="00000000" w:rsidRDefault="00000000" w:rsidRPr="00000000" w14:paraId="0000008E">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silné a slabé stránky, sebarozvoj</w:t>
            </w:r>
          </w:p>
          <w:p w:rsidR="00000000" w:rsidDel="00000000" w:rsidP="00000000" w:rsidRDefault="00000000" w:rsidRPr="00000000" w14:paraId="0000008F">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plán osobného rozvoja, stanovenie cieľov</w:t>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Rozumie významnej role inštruktorov v SLSK a ich oprávneniam a povinnostiam.</w:t>
            </w:r>
          </w:p>
        </w:tc>
        <w:tc>
          <w:tcPr>
            <w:shd w:fill="auto" w:val="clear"/>
            <w:tcMar>
              <w:top w:w="100.0" w:type="dxa"/>
              <w:left w:w="100.0" w:type="dxa"/>
              <w:bottom w:w="100.0" w:type="dxa"/>
              <w:right w:w="100.0" w:type="dxa"/>
            </w:tcMar>
          </w:tcPr>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si nastaviť a plniť plán osobného rozvoja.</w:t>
            </w:r>
          </w:p>
        </w:tc>
        <w:tc>
          <w:tcPr>
            <w:shd w:fill="auto" w:val="clear"/>
            <w:tcMar>
              <w:top w:w="100.0" w:type="dxa"/>
              <w:left w:w="100.0" w:type="dxa"/>
              <w:bottom w:w="100.0" w:type="dxa"/>
              <w:right w:w="100.0" w:type="dxa"/>
            </w:tcMar>
          </w:tcPr>
          <w:p w:rsidR="00000000" w:rsidDel="00000000" w:rsidP="00000000" w:rsidRDefault="00000000" w:rsidRPr="00000000" w14:paraId="00000096">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7">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098">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99">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09B">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6"/>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9C">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Komunikačná stratégia a kanály v organizácii</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9D">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E">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cieľ komunikácie SLSK</w:t>
            </w:r>
          </w:p>
          <w:p w:rsidR="00000000" w:rsidDel="00000000" w:rsidP="00000000" w:rsidRDefault="00000000" w:rsidRPr="00000000" w14:paraId="0000009F">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komunikačná stratégia SLSK</w:t>
            </w:r>
          </w:p>
          <w:p w:rsidR="00000000" w:rsidDel="00000000" w:rsidP="00000000" w:rsidRDefault="00000000" w:rsidRPr="00000000" w14:paraId="000000A0">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 vnútorná - šírenie informácií dostupnosť informácií, slušná komunikácia</w:t>
            </w:r>
          </w:p>
          <w:p w:rsidR="00000000" w:rsidDel="00000000" w:rsidP="00000000" w:rsidRDefault="00000000" w:rsidRPr="00000000" w14:paraId="000000A1">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 vonkajšia  - obraz SLSK pre verejnosťou, komunikácia s verejnými orgánmi, spravodajstvom… </w:t>
            </w:r>
          </w:p>
          <w:p w:rsidR="00000000" w:rsidDel="00000000" w:rsidP="00000000" w:rsidRDefault="00000000" w:rsidRPr="00000000" w14:paraId="000000A2">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komunikačné kanály SLSK a dizajn manuál organizácie</w:t>
            </w:r>
          </w:p>
          <w:p w:rsidR="00000000" w:rsidDel="00000000" w:rsidP="00000000" w:rsidRDefault="00000000" w:rsidRPr="00000000" w14:paraId="000000A3">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tvorba komunikačnej stratégie od A po Z</w:t>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A5">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0A6">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Pozná komunikačnú stratégiu organizácie a dokáže sa podieľať na jej tvorbe.</w:t>
            </w:r>
          </w:p>
        </w:tc>
        <w:tc>
          <w:tcPr>
            <w:shd w:fill="auto" w:val="clear"/>
            <w:tcMar>
              <w:top w:w="100.0" w:type="dxa"/>
              <w:left w:w="100.0" w:type="dxa"/>
              <w:bottom w:w="100.0" w:type="dxa"/>
              <w:right w:w="100.0" w:type="dxa"/>
            </w:tcMar>
          </w:tcPr>
          <w:p w:rsidR="00000000" w:rsidDel="00000000" w:rsidP="00000000" w:rsidRDefault="00000000" w:rsidRPr="00000000" w14:paraId="000000A8">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pripraviť určité formy písomností zameraných na verejnosť (tlačová správa, výročná správa, informácie o činnosti oblasti/organizácie...)</w:t>
            </w:r>
          </w:p>
        </w:tc>
        <w:tc>
          <w:tcPr>
            <w:shd w:fill="auto" w:val="clear"/>
            <w:tcMar>
              <w:top w:w="100.0" w:type="dxa"/>
              <w:left w:w="100.0" w:type="dxa"/>
              <w:bottom w:w="100.0" w:type="dxa"/>
              <w:right w:w="100.0" w:type="dxa"/>
            </w:tcMar>
          </w:tcPr>
          <w:p w:rsidR="00000000" w:rsidDel="00000000" w:rsidP="00000000" w:rsidRDefault="00000000" w:rsidRPr="00000000" w14:paraId="000000AA">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Vie zvoliť vhodný komunikačný kanál a vhodne ho využívať (forma, prejav...).</w:t>
            </w:r>
          </w:p>
        </w:tc>
        <w:tc>
          <w:tcPr>
            <w:shd w:fill="auto" w:val="clear"/>
            <w:tcMar>
              <w:top w:w="100.0" w:type="dxa"/>
              <w:left w:w="100.0" w:type="dxa"/>
              <w:bottom w:w="100.0" w:type="dxa"/>
              <w:right w:w="100.0" w:type="dxa"/>
            </w:tcMar>
          </w:tcPr>
          <w:p w:rsidR="00000000" w:rsidDel="00000000" w:rsidP="00000000" w:rsidRDefault="00000000" w:rsidRPr="00000000" w14:paraId="000000AC">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AD">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0AE">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AF">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0B1">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7"/>
        <w:tblW w:w="10245.0" w:type="dxa"/>
        <w:jc w:val="left"/>
        <w:tblInd w:w="-4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0"/>
        <w:gridCol w:w="4395"/>
        <w:gridCol w:w="2700"/>
        <w:tblGridChange w:id="0">
          <w:tblGrid>
            <w:gridCol w:w="3150"/>
            <w:gridCol w:w="4395"/>
            <w:gridCol w:w="2700"/>
          </w:tblGrid>
        </w:tblGridChange>
      </w:tblGrid>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0B2">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Organizačný tím vzdelávacej akcie a veľkej akcie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0B4">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3"/>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B5">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špecifiká tímu vzdelávacej a veľkej akcie</w:t>
            </w:r>
          </w:p>
          <w:p w:rsidR="00000000" w:rsidDel="00000000" w:rsidP="00000000" w:rsidRDefault="00000000" w:rsidRPr="00000000" w14:paraId="000000B6">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vedenie a fungovanie tímu - plánovacie stretnutia, výkonná časť vzdelávania/činnosti, hodnotiace stretnutia, motivačné stretnutia, motivácia</w:t>
            </w:r>
          </w:p>
          <w:p w:rsidR="00000000" w:rsidDel="00000000" w:rsidP="00000000" w:rsidRDefault="00000000" w:rsidRPr="00000000" w14:paraId="000000B7">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starostlivosť o tímu ako celok a jeho jednotlivých členov</w:t>
            </w:r>
          </w:p>
          <w:p w:rsidR="00000000" w:rsidDel="00000000" w:rsidP="00000000" w:rsidRDefault="00000000" w:rsidRPr="00000000" w14:paraId="000000B8">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získavanie členov tímu a ich zapojenie do vzdelávacieho/organizačného procesu</w:t>
            </w:r>
          </w:p>
          <w:p w:rsidR="00000000" w:rsidDel="00000000" w:rsidP="00000000" w:rsidRDefault="00000000" w:rsidRPr="00000000" w14:paraId="000000B9">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riešenie problémov v tíme - komunikačné, organizačné, nástupníctvo, odborné</w:t>
            </w:r>
          </w:p>
          <w:p w:rsidR="00000000" w:rsidDel="00000000" w:rsidP="00000000" w:rsidRDefault="00000000" w:rsidRPr="00000000" w14:paraId="000000BA">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kedy ostať, kedy a ako odísť, kontinuita tímu</w:t>
            </w:r>
          </w:p>
          <w:p w:rsidR="00000000" w:rsidDel="00000000" w:rsidP="00000000" w:rsidRDefault="00000000" w:rsidRPr="00000000" w14:paraId="000000BB">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oslovovanie a práca s externými odborníkmi</w:t>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3f3f3" w:val="clear"/>
            <w:tcMar>
              <w:top w:w="100.0" w:type="dxa"/>
              <w:left w:w="100.0" w:type="dxa"/>
              <w:bottom w:w="100.0" w:type="dxa"/>
              <w:right w:w="100.0" w:type="dxa"/>
            </w:tcMar>
          </w:tcPr>
          <w:p w:rsidR="00000000" w:rsidDel="00000000" w:rsidP="00000000" w:rsidRDefault="00000000" w:rsidRPr="00000000" w14:paraId="000000CA">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tcBorders>
              <w:top w:color="000000" w:space="0" w:sz="4" w:val="single"/>
              <w:left w:color="000000" w:space="0" w:sz="4" w:val="single"/>
              <w:bottom w:color="000000" w:space="0" w:sz="4" w:val="single"/>
              <w:right w:color="000000" w:space="0" w:sz="4" w:val="single"/>
            </w:tcBorders>
            <w:shd w:fill="f3f3f3" w:val="clear"/>
            <w:tcMar>
              <w:top w:w="100.0" w:type="dxa"/>
              <w:left w:w="100.0" w:type="dxa"/>
              <w:bottom w:w="100.0" w:type="dxa"/>
              <w:right w:w="100.0" w:type="dxa"/>
            </w:tcMar>
          </w:tcPr>
          <w:p w:rsidR="00000000" w:rsidDel="00000000" w:rsidP="00000000" w:rsidRDefault="00000000" w:rsidRPr="00000000" w14:paraId="000000CB">
            <w:pPr>
              <w:pageBreakBefore w:val="0"/>
              <w:widowControl w:val="0"/>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Mar>
              <w:top w:w="100.0" w:type="dxa"/>
              <w:left w:w="100.0" w:type="dxa"/>
              <w:bottom w:w="100.0" w:type="dxa"/>
              <w:right w:w="100.0" w:type="dxa"/>
            </w:tcMar>
          </w:tcPr>
          <w:p w:rsidR="00000000" w:rsidDel="00000000" w:rsidP="00000000" w:rsidRDefault="00000000" w:rsidRPr="00000000" w14:paraId="000000CC">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rHeight w:val="75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viesť vzdelávací tím a tím veľkej akcie s dôrazom na starostlivosť o členov, riešenie problémov a kontinuitu tímu.</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0D0">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 - modelová situácia</w:t>
            </w:r>
          </w:p>
        </w:tc>
      </w:tr>
      <w:tr>
        <w:trPr>
          <w:cantSplit w:val="0"/>
          <w:trHeight w:val="52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Pozná špecifiká vzdelávacieho tímu a tímu veľkej akcie.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 - teoretická otázka</w:t>
            </w:r>
          </w:p>
        </w:tc>
      </w:tr>
      <w:tr>
        <w:trPr>
          <w:cantSplit w:val="0"/>
          <w:trHeight w:val="52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0D5">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D6">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0D9">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8"/>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DA">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Monitoring a evaluácia</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DB">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DC">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metódy monitoringu a evaluácie organizácie - hodnotenie kvality, hĺbkový monitoring a evaluácia, GSAT</w:t>
            </w:r>
          </w:p>
          <w:p w:rsidR="00000000" w:rsidDel="00000000" w:rsidP="00000000" w:rsidRDefault="00000000" w:rsidRPr="00000000" w14:paraId="000000DD">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metódy hodnotenia kurzu a akcie s účastníkmi</w:t>
            </w:r>
          </w:p>
          <w:p w:rsidR="00000000" w:rsidDel="00000000" w:rsidP="00000000" w:rsidRDefault="00000000" w:rsidRPr="00000000" w14:paraId="000000DE">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postupy pri pripomienkovaní strategických dokumentov</w:t>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E0">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0E1">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ageBreakBefore w:val="0"/>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Pozná rôzne metódy monitorovania a evaluácie organizácie a dokáže si nimi efektívne  pracovať.</w:t>
            </w:r>
          </w:p>
        </w:tc>
        <w:tc>
          <w:tcPr>
            <w:shd w:fill="auto" w:val="clear"/>
            <w:tcMar>
              <w:top w:w="100.0" w:type="dxa"/>
              <w:left w:w="100.0" w:type="dxa"/>
              <w:bottom w:w="100.0" w:type="dxa"/>
              <w:right w:w="100.0" w:type="dxa"/>
            </w:tcMar>
          </w:tcPr>
          <w:p w:rsidR="00000000" w:rsidDel="00000000" w:rsidP="00000000" w:rsidRDefault="00000000" w:rsidRPr="00000000" w14:paraId="000000E3">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4">
            <w:pPr>
              <w:pageBreakBefore w:val="0"/>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Vie v praxi využiť rozličné metódy hodnotenia s účastníkmi.</w:t>
            </w:r>
          </w:p>
        </w:tc>
        <w:tc>
          <w:tcPr>
            <w:shd w:fill="auto" w:val="clear"/>
            <w:tcMar>
              <w:top w:w="100.0" w:type="dxa"/>
              <w:left w:w="100.0" w:type="dxa"/>
              <w:bottom w:w="100.0" w:type="dxa"/>
              <w:right w:w="100.0" w:type="dxa"/>
            </w:tcMar>
          </w:tcPr>
          <w:p w:rsidR="00000000" w:rsidDel="00000000" w:rsidP="00000000" w:rsidRDefault="00000000" w:rsidRPr="00000000" w14:paraId="000000E5">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E6">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0E7">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E8">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0EA">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9"/>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EB">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Hodnotenie vzdelávacieho procesu</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EC">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ED">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hodnotenie nadobudnutých kompetencií účastníkmi počas a po skončení vzdelávacieho podujatia</w:t>
            </w:r>
          </w:p>
          <w:p w:rsidR="00000000" w:rsidDel="00000000" w:rsidP="00000000" w:rsidRDefault="00000000" w:rsidRPr="00000000" w14:paraId="000000EE">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Roboto" w:cs="Roboto" w:eastAsia="Roboto" w:hAnsi="Roboto"/>
                <w:sz w:val="20"/>
                <w:szCs w:val="20"/>
                <w:highlight w:val="white"/>
                <w:rtl w:val="0"/>
              </w:rPr>
              <w:t xml:space="preserve">formy hodnotenia - odporúčanie tímu, činnosť, skúšky</w:t>
            </w:r>
            <w:r w:rsidDel="00000000" w:rsidR="00000000" w:rsidRPr="00000000">
              <w:rPr>
                <w:rtl w:val="0"/>
              </w:rPr>
            </w:r>
          </w:p>
          <w:p w:rsidR="00000000" w:rsidDel="00000000" w:rsidP="00000000" w:rsidRDefault="00000000" w:rsidRPr="00000000" w14:paraId="000000EF">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skúšky - príprava (podklady, náležitosti), realizácie a ukončenie</w:t>
            </w:r>
          </w:p>
          <w:p w:rsidR="00000000" w:rsidDel="00000000" w:rsidP="00000000" w:rsidRDefault="00000000" w:rsidRPr="00000000" w14:paraId="000000F0">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ako skúšať, čomu sa vyhnúť, na čo sa zamerať</w:t>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F2">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0F3">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správne vybrať a zrealizovať rôzne formy hodnotenia kompetencií účastníka získaných vo vzdelávacom procese a na jeho konci.</w:t>
            </w:r>
          </w:p>
        </w:tc>
        <w:tc>
          <w:tcPr>
            <w:shd w:fill="auto" w:val="clear"/>
            <w:tcMar>
              <w:top w:w="100.0" w:type="dxa"/>
              <w:left w:w="100.0" w:type="dxa"/>
              <w:bottom w:w="100.0" w:type="dxa"/>
              <w:right w:w="100.0" w:type="dxa"/>
            </w:tcMar>
          </w:tcPr>
          <w:p w:rsidR="00000000" w:rsidDel="00000000" w:rsidP="00000000" w:rsidRDefault="00000000" w:rsidRPr="00000000" w14:paraId="000000F5">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Vie, ako správne skúšať záujemcov o inštruktorské, vodcovské, líderské, radcovské skúšky.</w:t>
            </w:r>
          </w:p>
        </w:tc>
        <w:tc>
          <w:tcPr>
            <w:shd w:fill="auto" w:val="clear"/>
            <w:tcMar>
              <w:top w:w="100.0" w:type="dxa"/>
              <w:left w:w="100.0" w:type="dxa"/>
              <w:bottom w:w="100.0" w:type="dxa"/>
              <w:right w:w="100.0" w:type="dxa"/>
            </w:tcMar>
          </w:tcPr>
          <w:p w:rsidR="00000000" w:rsidDel="00000000" w:rsidP="00000000" w:rsidRDefault="00000000" w:rsidRPr="00000000" w14:paraId="000000F7">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F8">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0F9">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FA">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0FC">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10"/>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FD">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Komunikačné a prezentačné zručnosti</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FE">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180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FF">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prejav, vystupovanie, rétorické zručnosti</w:t>
            </w:r>
            <w:r w:rsidDel="00000000" w:rsidR="00000000" w:rsidRPr="00000000">
              <w:rPr>
                <w:rtl w:val="0"/>
              </w:rPr>
            </w:r>
          </w:p>
          <w:p w:rsidR="00000000" w:rsidDel="00000000" w:rsidP="00000000" w:rsidRDefault="00000000" w:rsidRPr="00000000" w14:paraId="00000100">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psychologická príprava prezentujúceho </w:t>
            </w:r>
          </w:p>
          <w:p w:rsidR="00000000" w:rsidDel="00000000" w:rsidP="00000000" w:rsidRDefault="00000000" w:rsidRPr="00000000" w14:paraId="00000101">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typy poslucháčov, analýza publika </w:t>
            </w:r>
          </w:p>
          <w:p w:rsidR="00000000" w:rsidDel="00000000" w:rsidP="00000000" w:rsidRDefault="00000000" w:rsidRPr="00000000" w14:paraId="00000102">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verbálna príprava, práca s hlasom </w:t>
            </w:r>
          </w:p>
          <w:p w:rsidR="00000000" w:rsidDel="00000000" w:rsidP="00000000" w:rsidRDefault="00000000" w:rsidRPr="00000000" w14:paraId="00000103">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neverbálna komunikácia</w:t>
            </w:r>
          </w:p>
          <w:p w:rsidR="00000000" w:rsidDel="00000000" w:rsidP="00000000" w:rsidRDefault="00000000" w:rsidRPr="00000000" w14:paraId="00000104">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zásady prezentovania</w:t>
            </w:r>
          </w:p>
          <w:p w:rsidR="00000000" w:rsidDel="00000000" w:rsidP="00000000" w:rsidRDefault="00000000" w:rsidRPr="00000000" w14:paraId="00000105">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zvládanie trémy</w:t>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107">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108">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primerane prezentovať pred rôznymi typmi publika a prispôsobiť svoj prejav situácii.</w:t>
            </w:r>
          </w:p>
        </w:tc>
        <w:tc>
          <w:tcPr>
            <w:shd w:fill="auto" w:val="clear"/>
            <w:tcMar>
              <w:top w:w="100.0" w:type="dxa"/>
              <w:left w:w="100.0" w:type="dxa"/>
              <w:bottom w:w="100.0" w:type="dxa"/>
              <w:right w:w="100.0" w:type="dxa"/>
            </w:tcMar>
          </w:tcPr>
          <w:p w:rsidR="00000000" w:rsidDel="00000000" w:rsidP="00000000" w:rsidRDefault="00000000" w:rsidRPr="00000000" w14:paraId="0000010A">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br w:type="textWrapping"/>
              <w:t xml:space="preserve">inštruktorská činnosť</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0B">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0C">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0D">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0F">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11"/>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110">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Základy argumentácie</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11">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12">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argumentácia a najbežnejšie chyby v argumentácii</w:t>
            </w:r>
          </w:p>
          <w:p w:rsidR="00000000" w:rsidDel="00000000" w:rsidP="00000000" w:rsidRDefault="00000000" w:rsidRPr="00000000" w14:paraId="00000113">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reakcie na námietky (pozitívne/negatívne)</w:t>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115">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116">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Vie, ako argumentovať a dokáže rozoznať základné chyby v svojom argumentovaní i v argumentovaní druhých.</w:t>
            </w:r>
          </w:p>
        </w:tc>
        <w:tc>
          <w:tcPr>
            <w:shd w:fill="auto" w:val="clear"/>
            <w:tcMar>
              <w:top w:w="100.0" w:type="dxa"/>
              <w:left w:w="100.0" w:type="dxa"/>
              <w:bottom w:w="100.0" w:type="dxa"/>
              <w:right w:w="100.0" w:type="dxa"/>
            </w:tcMar>
          </w:tcPr>
          <w:p w:rsidR="00000000" w:rsidDel="00000000" w:rsidP="00000000" w:rsidRDefault="00000000" w:rsidRPr="00000000" w14:paraId="00000118">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19">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1A">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1B">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1D">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12"/>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11E">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Zážitkové vzdelávanie v SLSK</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1F">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20">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prepojenie zážitkovej pedagogiky s formačným procesom a vzdelávacími cieľmi</w:t>
              <w:tab/>
            </w:r>
          </w:p>
          <w:p w:rsidR="00000000" w:rsidDel="00000000" w:rsidP="00000000" w:rsidRDefault="00000000" w:rsidRPr="00000000" w14:paraId="00000121">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ako vytvoriť originálny formát kurzu - dlhodobý, víkendový</w:t>
              <w:tab/>
            </w:r>
          </w:p>
          <w:p w:rsidR="00000000" w:rsidDel="00000000" w:rsidP="00000000" w:rsidRDefault="00000000" w:rsidRPr="00000000" w14:paraId="00000122">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využitie zážitkovej pedagogiky vo vzdelávaní</w:t>
              <w:tab/>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124">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125">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vytvoriť koncept kurzu s prepojením vzdelávacích cieľov, zážitkovej pedagogiky a formácie účastníkov.</w:t>
              <w:tab/>
            </w:r>
          </w:p>
        </w:tc>
        <w:tc>
          <w:tcPr>
            <w:shd w:fill="auto" w:val="clear"/>
            <w:tcMar>
              <w:top w:w="100.0" w:type="dxa"/>
              <w:left w:w="100.0" w:type="dxa"/>
              <w:bottom w:w="100.0" w:type="dxa"/>
              <w:right w:w="100.0" w:type="dxa"/>
            </w:tcMar>
          </w:tcPr>
          <w:p w:rsidR="00000000" w:rsidDel="00000000" w:rsidP="00000000" w:rsidRDefault="00000000" w:rsidRPr="00000000" w14:paraId="00000127">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28">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29">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2A">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2C">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13"/>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12D">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Mentoring a koučing</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2E">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2F">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formy vedenia dobrovoľníkov</w:t>
              <w:tab/>
            </w:r>
          </w:p>
          <w:p w:rsidR="00000000" w:rsidDel="00000000" w:rsidP="00000000" w:rsidRDefault="00000000" w:rsidRPr="00000000" w14:paraId="00000130">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mentoring a jeho zásady</w:t>
              <w:tab/>
            </w:r>
          </w:p>
          <w:p w:rsidR="00000000" w:rsidDel="00000000" w:rsidP="00000000" w:rsidRDefault="00000000" w:rsidRPr="00000000" w14:paraId="00000131">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koučing a jeho zásady</w:t>
              <w:tab/>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133">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134">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5">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 schopný v praxi využiť mentoringový a koučovací prístup.</w:t>
              <w:tab/>
            </w:r>
          </w:p>
        </w:tc>
        <w:tc>
          <w:tcPr>
            <w:shd w:fill="auto" w:val="clear"/>
            <w:tcMar>
              <w:top w:w="100.0" w:type="dxa"/>
              <w:left w:w="100.0" w:type="dxa"/>
              <w:bottom w:w="100.0" w:type="dxa"/>
              <w:right w:w="100.0" w:type="dxa"/>
            </w:tcMar>
          </w:tcPr>
          <w:p w:rsidR="00000000" w:rsidDel="00000000" w:rsidP="00000000" w:rsidRDefault="00000000" w:rsidRPr="00000000" w14:paraId="00000136">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37">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38">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39">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3B">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14"/>
        <w:tblW w:w="10245.0" w:type="dxa"/>
        <w:jc w:val="left"/>
        <w:tblInd w:w="-4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0"/>
        <w:gridCol w:w="4395"/>
        <w:gridCol w:w="2700"/>
        <w:tblGridChange w:id="0">
          <w:tblGrid>
            <w:gridCol w:w="3150"/>
            <w:gridCol w:w="4395"/>
            <w:gridCol w:w="2700"/>
          </w:tblGrid>
        </w:tblGridChange>
      </w:tblGrid>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13C">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Práca a starostlivosť o dobrovoľníkov/dobrovoľníčky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13E">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3"/>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3F">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práca s dobrovoľníkmi - cyklus dobrovoľníka - MOVIS , právne predpisy súvisiace s dobrovoľníctvom</w:t>
              <w:tab/>
            </w:r>
          </w:p>
          <w:p w:rsidR="00000000" w:rsidDel="00000000" w:rsidP="00000000" w:rsidRDefault="00000000" w:rsidRPr="00000000" w14:paraId="00000140">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rôzne typy dobrovoľníkov - podľa funkcie, vekovej kategórie, formy zapojenia sa, predošlých skúseností </w:t>
              <w:tab/>
            </w:r>
          </w:p>
          <w:p w:rsidR="00000000" w:rsidDel="00000000" w:rsidP="00000000" w:rsidRDefault="00000000" w:rsidRPr="00000000" w14:paraId="00000141">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etický kódex dobrovoľníkov - ako s ním pracovať, revidovať ho a ako ho zapracovať do organizácie</w:t>
              <w:tab/>
            </w:r>
          </w:p>
          <w:p w:rsidR="00000000" w:rsidDel="00000000" w:rsidP="00000000" w:rsidRDefault="00000000" w:rsidRPr="00000000" w14:paraId="00000142">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vzájomné/dobrovoľnícke dohody (mutual agreement) - význam, výhody, ako s nimi pracovať a ako ich zaviesť do organizácie</w:t>
              <w:tab/>
            </w:r>
          </w:p>
          <w:p w:rsidR="00000000" w:rsidDel="00000000" w:rsidP="00000000" w:rsidRDefault="00000000" w:rsidRPr="00000000" w14:paraId="00000143">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nasledovníctvo (succesion planning) - stratégia rozvoja nasledovníctva, ako udržať v organizácii kultúru hľadania si nasledovníkov</w:t>
              <w:tab/>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3f3f3" w:val="clear"/>
            <w:tcMar>
              <w:top w:w="100.0" w:type="dxa"/>
              <w:left w:w="100.0" w:type="dxa"/>
              <w:bottom w:w="100.0" w:type="dxa"/>
              <w:right w:w="100.0" w:type="dxa"/>
            </w:tcMar>
          </w:tcPr>
          <w:p w:rsidR="00000000" w:rsidDel="00000000" w:rsidP="00000000" w:rsidRDefault="00000000" w:rsidRPr="00000000" w14:paraId="00000152">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tcBorders>
              <w:top w:color="000000" w:space="0" w:sz="4" w:val="single"/>
              <w:left w:color="000000" w:space="0" w:sz="4" w:val="single"/>
              <w:bottom w:color="000000" w:space="0" w:sz="4" w:val="single"/>
              <w:right w:color="000000" w:space="0" w:sz="4" w:val="single"/>
            </w:tcBorders>
            <w:shd w:fill="f3f3f3" w:val="clear"/>
            <w:tcMar>
              <w:top w:w="100.0" w:type="dxa"/>
              <w:left w:w="100.0" w:type="dxa"/>
              <w:bottom w:w="100.0" w:type="dxa"/>
              <w:right w:w="100.0" w:type="dxa"/>
            </w:tcMar>
          </w:tcPr>
          <w:p w:rsidR="00000000" w:rsidDel="00000000" w:rsidP="00000000" w:rsidRDefault="00000000" w:rsidRPr="00000000" w14:paraId="00000153">
            <w:pPr>
              <w:pageBreakBefore w:val="0"/>
              <w:widowControl w:val="0"/>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Mar>
              <w:top w:w="100.0" w:type="dxa"/>
              <w:left w:w="100.0" w:type="dxa"/>
              <w:bottom w:w="100.0" w:type="dxa"/>
              <w:right w:w="100.0" w:type="dxa"/>
            </w:tcMar>
          </w:tcPr>
          <w:p w:rsidR="00000000" w:rsidDel="00000000" w:rsidP="00000000" w:rsidRDefault="00000000" w:rsidRPr="00000000" w14:paraId="00000154">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rHeight w:val="75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55">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zabezpečiť primeraný cyklus dobrovoľníka a starostlivosť oň ho na rôznych úrovniach organizácie.</w:t>
              <w:tab/>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5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158">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w:t>
            </w:r>
          </w:p>
        </w:tc>
      </w:tr>
      <w:tr>
        <w:trPr>
          <w:cantSplit w:val="0"/>
          <w:trHeight w:val="52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5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zaviesť rôzny formy nasledovníctva na regionálnej aj národnej úrovni.</w:t>
              <w:tab/>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5B">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w:t>
            </w:r>
          </w:p>
        </w:tc>
      </w:tr>
      <w:tr>
        <w:trPr>
          <w:cantSplit w:val="0"/>
          <w:trHeight w:val="52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5C">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5D">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5E">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61">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15"/>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162">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Kompetenčný profil (prerekvizita prednášky Lektorovanie vzdelávacej aktivity)</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63">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64">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vedomosti, zručnosti, postoje</w:t>
              <w:tab/>
            </w:r>
          </w:p>
          <w:p w:rsidR="00000000" w:rsidDel="00000000" w:rsidP="00000000" w:rsidRDefault="00000000" w:rsidRPr="00000000" w14:paraId="00000165">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Bloomova taxonómia</w:t>
              <w:tab/>
            </w:r>
          </w:p>
          <w:p w:rsidR="00000000" w:rsidDel="00000000" w:rsidP="00000000" w:rsidRDefault="00000000" w:rsidRPr="00000000" w14:paraId="00000166">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kompetencie získané pri skautskom vzdelávaní a programe</w:t>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pageBreakBefore w:val="0"/>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Dokáže vypracovať kompletný kompetenčný profil absolventa daného vzdelávacieho bloku.</w:t>
              <w:tab/>
            </w:r>
          </w:p>
        </w:tc>
        <w:tc>
          <w:tcPr>
            <w:shd w:fill="auto" w:val="clear"/>
            <w:tcMar>
              <w:top w:w="100.0" w:type="dxa"/>
              <w:left w:w="100.0" w:type="dxa"/>
              <w:bottom w:w="100.0" w:type="dxa"/>
              <w:right w:w="100.0" w:type="dxa"/>
            </w:tcMar>
          </w:tcPr>
          <w:p w:rsidR="00000000" w:rsidDel="00000000" w:rsidP="00000000" w:rsidRDefault="00000000" w:rsidRPr="00000000" w14:paraId="0000016B">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16C">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 - praktické zadanie</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6D">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6E">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6F">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71">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16"/>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172">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Metódy neformálneho vzdelávania</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73">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4">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formálne vs. neformálne , informálne učenie</w:t>
              <w:tab/>
            </w:r>
            <w:r w:rsidDel="00000000" w:rsidR="00000000" w:rsidRPr="00000000">
              <w:rPr>
                <w:rtl w:val="0"/>
              </w:rPr>
            </w:r>
          </w:p>
          <w:p w:rsidR="00000000" w:rsidDel="00000000" w:rsidP="00000000" w:rsidRDefault="00000000" w:rsidRPr="00000000" w14:paraId="00000175">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metóda, technika, aktivita</w:t>
              <w:tab/>
            </w:r>
            <w:r w:rsidDel="00000000" w:rsidR="00000000" w:rsidRPr="00000000">
              <w:rPr>
                <w:rtl w:val="0"/>
              </w:rPr>
            </w:r>
          </w:p>
          <w:p w:rsidR="00000000" w:rsidDel="00000000" w:rsidP="00000000" w:rsidRDefault="00000000" w:rsidRPr="00000000" w14:paraId="00000176">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rôzne typy metód (skupinová práca, brainstorming, diskusia, prednáška, sebareflexia, rolová</w:t>
            </w:r>
            <w:r w:rsidDel="00000000" w:rsidR="00000000" w:rsidRPr="00000000">
              <w:rPr>
                <w:rtl w:val="0"/>
              </w:rPr>
            </w:r>
          </w:p>
          <w:p w:rsidR="00000000" w:rsidDel="00000000" w:rsidP="00000000" w:rsidRDefault="00000000" w:rsidRPr="00000000" w14:paraId="00000177">
            <w:pPr>
              <w:pageBreakBefore w:val="0"/>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hra, simulácia, prípadová štúdia...)</w:t>
            </w:r>
          </w:p>
          <w:p w:rsidR="00000000" w:rsidDel="00000000" w:rsidP="00000000" w:rsidRDefault="00000000" w:rsidRPr="00000000" w14:paraId="00000178">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nové trendy v neformálnom vzdelávaní</w:t>
              <w:tab/>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vysvetliť rozdiel medzi formálnym a neformálnym</w:t>
            </w:r>
          </w:p>
          <w:p w:rsidR="00000000" w:rsidDel="00000000" w:rsidP="00000000" w:rsidRDefault="00000000" w:rsidRPr="00000000" w14:paraId="0000017D">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vzdelávaním a informálnym učením.</w:t>
              <w:tab/>
            </w:r>
          </w:p>
        </w:tc>
        <w:tc>
          <w:tcPr>
            <w:shd w:fill="auto" w:val="clear"/>
            <w:tcMar>
              <w:top w:w="100.0" w:type="dxa"/>
              <w:left w:w="100.0" w:type="dxa"/>
              <w:bottom w:w="100.0" w:type="dxa"/>
              <w:right w:w="100.0" w:type="dxa"/>
            </w:tcMar>
          </w:tcPr>
          <w:p w:rsidR="00000000" w:rsidDel="00000000" w:rsidP="00000000" w:rsidRDefault="00000000" w:rsidRPr="00000000" w14:paraId="0000017E">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F">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Používa rôzne vzdelávacie metódy a aplikuje ich na základe zámeru vzdelávacieho bloku a cieľovej skupiny.</w:t>
              <w:tab/>
            </w:r>
          </w:p>
        </w:tc>
        <w:tc>
          <w:tcPr>
            <w:shd w:fill="auto" w:val="clear"/>
            <w:tcMar>
              <w:top w:w="100.0" w:type="dxa"/>
              <w:left w:w="100.0" w:type="dxa"/>
              <w:bottom w:w="100.0" w:type="dxa"/>
              <w:right w:w="100.0" w:type="dxa"/>
            </w:tcMar>
          </w:tcPr>
          <w:p w:rsidR="00000000" w:rsidDel="00000000" w:rsidP="00000000" w:rsidRDefault="00000000" w:rsidRPr="00000000" w14:paraId="00000180">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181">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inštruktorská činnosť</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2">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83">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84">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86">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17"/>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187">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Lektorovanie vzdelávacej aktivity</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88">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9">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zásady lektorovania, práca so skupinou, motivácia účastníkov a facilitačné zručnosti</w:t>
              <w:tab/>
            </w:r>
          </w:p>
          <w:p w:rsidR="00000000" w:rsidDel="00000000" w:rsidP="00000000" w:rsidRDefault="00000000" w:rsidRPr="00000000" w14:paraId="0000018A">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ako vytvoriť vzdelávaciu aktivitu/prednášku - postup od kompetencie až po prevedenie (aplikovanie Bloomovej/inej taxonómie), ako začať, ako udržať pozornosť</w:t>
              <w:tab/>
            </w:r>
          </w:p>
          <w:p w:rsidR="00000000" w:rsidDel="00000000" w:rsidP="00000000" w:rsidRDefault="00000000" w:rsidRPr="00000000" w14:paraId="0000018B">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prepájanie teoretických vedomostí s praxou</w:t>
              <w:tab/>
            </w:r>
          </w:p>
          <w:p w:rsidR="00000000" w:rsidDel="00000000" w:rsidP="00000000" w:rsidRDefault="00000000" w:rsidRPr="00000000" w14:paraId="0000018C">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príprava prezentácií vrátane technického spracovania </w:t>
              <w:tab/>
            </w:r>
          </w:p>
          <w:p w:rsidR="00000000" w:rsidDel="00000000" w:rsidP="00000000" w:rsidRDefault="00000000" w:rsidRPr="00000000" w14:paraId="0000018D">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tvorba vlastných podkladov zo vzdelávacej aktivity, osnovy, príprava handoutu </w:t>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F">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0">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1">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vytvoriť a lektorovať vzdelávaciu aktivitu.</w:t>
              <w:tab/>
            </w:r>
          </w:p>
        </w:tc>
        <w:tc>
          <w:tcPr>
            <w:shd w:fill="auto" w:val="clear"/>
            <w:tcMar>
              <w:top w:w="100.0" w:type="dxa"/>
              <w:left w:w="100.0" w:type="dxa"/>
              <w:bottom w:w="100.0" w:type="dxa"/>
              <w:right w:w="100.0" w:type="dxa"/>
            </w:tcMar>
          </w:tcPr>
          <w:p w:rsidR="00000000" w:rsidDel="00000000" w:rsidP="00000000" w:rsidRDefault="00000000" w:rsidRPr="00000000" w14:paraId="00000192">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3">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Samostatne zvládne pripraviť podklady k vzdelávacej aktivite.</w:t>
              <w:tab/>
            </w:r>
          </w:p>
        </w:tc>
        <w:tc>
          <w:tcPr>
            <w:shd w:fill="auto" w:val="clear"/>
            <w:tcMar>
              <w:top w:w="100.0" w:type="dxa"/>
              <w:left w:w="100.0" w:type="dxa"/>
              <w:bottom w:w="100.0" w:type="dxa"/>
              <w:right w:w="100.0" w:type="dxa"/>
            </w:tcMar>
          </w:tcPr>
          <w:p w:rsidR="00000000" w:rsidDel="00000000" w:rsidP="00000000" w:rsidRDefault="00000000" w:rsidRPr="00000000" w14:paraId="00000194">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195">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inštruktorská činnosť</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96">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97">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98">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9A">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18"/>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19B">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Organizácia národnej/oblastnej akcie a vzdelávacej akcie</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9C">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9D">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špecifiká pri organizovaní národnej alebo oblastnej akcie</w:t>
              <w:tab/>
            </w:r>
          </w:p>
          <w:p w:rsidR="00000000" w:rsidDel="00000000" w:rsidP="00000000" w:rsidRDefault="00000000" w:rsidRPr="00000000" w14:paraId="0000019E">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organizácia vzdelávacej akcie od A po Z</w:t>
              <w:tab/>
            </w:r>
          </w:p>
          <w:p w:rsidR="00000000" w:rsidDel="00000000" w:rsidP="00000000" w:rsidRDefault="00000000" w:rsidRPr="00000000" w14:paraId="0000019F">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odovzdávanie nadobudnutého know-how</w:t>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1">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2">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3">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 schopný zorganizovať národnú a oblastnú akciu alebo kurz s prihliadnutím na jednotlivé špecifiká a správne zásady organizovania takýchto podujatí.</w:t>
              <w:tab/>
            </w:r>
          </w:p>
        </w:tc>
        <w:tc>
          <w:tcPr>
            <w:shd w:fill="auto" w:val="clear"/>
            <w:tcMar>
              <w:top w:w="100.0" w:type="dxa"/>
              <w:left w:w="100.0" w:type="dxa"/>
              <w:bottom w:w="100.0" w:type="dxa"/>
              <w:right w:w="100.0" w:type="dxa"/>
            </w:tcMar>
          </w:tcPr>
          <w:p w:rsidR="00000000" w:rsidDel="00000000" w:rsidP="00000000" w:rsidRDefault="00000000" w:rsidRPr="00000000" w14:paraId="000001A4">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1A5">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inštruktorská činnosť</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A6">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A7">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A8">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AA">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19"/>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1AB">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Strategické plánovanie</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AC">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180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AD">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pojmy - misia, vízia, hodnoty, strategický plán, akčný plán</w:t>
              <w:tab/>
            </w:r>
          </w:p>
          <w:p w:rsidR="00000000" w:rsidDel="00000000" w:rsidP="00000000" w:rsidRDefault="00000000" w:rsidRPr="00000000" w14:paraId="000001AE">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ako vytvárať stratégiu organizácie od zberu dát, analýzy, cez určenie vízie a základných priorít , až po pripomienkovanie a implementáciu cez akčný plán</w:t>
              <w:tab/>
            </w:r>
          </w:p>
          <w:p w:rsidR="00000000" w:rsidDel="00000000" w:rsidP="00000000" w:rsidRDefault="00000000" w:rsidRPr="00000000" w14:paraId="000001AF">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metódy analýzy - SWOT, Pestel metóda, Fishbone, analýza stakeholderov 5 Whys</w:t>
              <w:tab/>
            </w:r>
          </w:p>
          <w:p w:rsidR="00000000" w:rsidDel="00000000" w:rsidP="00000000" w:rsidRDefault="00000000" w:rsidRPr="00000000" w14:paraId="000001B0">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aktuálny strategický plán organizácie</w:t>
              <w:tab/>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1B2">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1B3">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4">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vypracovať strategický plán pre národnú aj regionálnu úroveň.</w:t>
              <w:tab/>
            </w:r>
          </w:p>
        </w:tc>
        <w:tc>
          <w:tcPr>
            <w:shd w:fill="auto" w:val="clear"/>
            <w:tcMar>
              <w:top w:w="100.0" w:type="dxa"/>
              <w:left w:w="100.0" w:type="dxa"/>
              <w:bottom w:w="100.0" w:type="dxa"/>
              <w:right w:w="100.0" w:type="dxa"/>
            </w:tcMar>
          </w:tcPr>
          <w:p w:rsidR="00000000" w:rsidDel="00000000" w:rsidP="00000000" w:rsidRDefault="00000000" w:rsidRPr="00000000" w14:paraId="000001B5">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1B6">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 - praktické zadanie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Pozná a vie sa orientovať v aktuálnom strategickom pláne SLSK.</w:t>
              <w:tab/>
            </w:r>
          </w:p>
        </w:tc>
        <w:tc>
          <w:tcPr>
            <w:shd w:fill="auto" w:val="clear"/>
            <w:tcMar>
              <w:top w:w="100.0" w:type="dxa"/>
              <w:left w:w="100.0" w:type="dxa"/>
              <w:bottom w:w="100.0" w:type="dxa"/>
              <w:right w:w="100.0" w:type="dxa"/>
            </w:tcMar>
          </w:tcPr>
          <w:p w:rsidR="00000000" w:rsidDel="00000000" w:rsidP="00000000" w:rsidRDefault="00000000" w:rsidRPr="00000000" w14:paraId="000001B8">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B9">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BA">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BB">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BD">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20"/>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1BE">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Rast organizácie cez kvalitu a changemanagement</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BF">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C0">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zvyšovanie kvality a rast organizácie - continuous improvement</w:t>
              <w:tab/>
            </w:r>
          </w:p>
          <w:p w:rsidR="00000000" w:rsidDel="00000000" w:rsidP="00000000" w:rsidRDefault="00000000" w:rsidRPr="00000000" w14:paraId="000001C1">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prinášanie zmien do organizácie na národnej a regionálnej úrovni</w:t>
              <w:tab/>
            </w:r>
          </w:p>
          <w:p w:rsidR="00000000" w:rsidDel="00000000" w:rsidP="00000000" w:rsidRDefault="00000000" w:rsidRPr="00000000" w14:paraId="000001C2">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zabezpečenie zmeny v organizácii tak aby všetky strany boli dostatočne informované</w:t>
              <w:tab/>
            </w:r>
          </w:p>
          <w:p w:rsidR="00000000" w:rsidDel="00000000" w:rsidP="00000000" w:rsidRDefault="00000000" w:rsidRPr="00000000" w14:paraId="000001C3">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ako komunikovať nové veci v organizácie</w:t>
              <w:tab/>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1C5">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1C6">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Pozná jednotlivé oblasti potrebné na stály rast a rozvoj organizácie a dokáže v nich nájsť oblasť, ktorej sa je potrebné aktuálne venovať.</w:t>
              <w:tab/>
            </w:r>
          </w:p>
        </w:tc>
        <w:tc>
          <w:tcPr>
            <w:shd w:fill="auto" w:val="clear"/>
            <w:tcMar>
              <w:top w:w="100.0" w:type="dxa"/>
              <w:left w:w="100.0" w:type="dxa"/>
              <w:bottom w:w="100.0" w:type="dxa"/>
              <w:right w:w="100.0" w:type="dxa"/>
            </w:tcMar>
          </w:tcPr>
          <w:p w:rsidR="00000000" w:rsidDel="00000000" w:rsidP="00000000" w:rsidRDefault="00000000" w:rsidRPr="00000000" w14:paraId="000001C8">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do organizácie priniesť zmenu s dodržaním správnych zásad changemanagementu.</w:t>
              <w:tab/>
            </w:r>
          </w:p>
        </w:tc>
        <w:tc>
          <w:tcPr>
            <w:shd w:fill="auto" w:val="clear"/>
            <w:tcMar>
              <w:top w:w="100.0" w:type="dxa"/>
              <w:left w:w="100.0" w:type="dxa"/>
              <w:bottom w:w="100.0" w:type="dxa"/>
              <w:right w:w="100.0" w:type="dxa"/>
            </w:tcMar>
          </w:tcPr>
          <w:p w:rsidR="00000000" w:rsidDel="00000000" w:rsidP="00000000" w:rsidRDefault="00000000" w:rsidRPr="00000000" w14:paraId="000001CA">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1CB">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 - praktické zadanie"</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CC">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CD">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CE">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D0">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21"/>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1D1">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Hospodárenie organizácie a fundraising</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1D2">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D3">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financovanie a hospodárenie organizácie (dotácia, členské poplatky, granty, 2%, ...) a prerozdelenie financií organizačným jednotkám</w:t>
              <w:tab/>
            </w:r>
          </w:p>
          <w:p w:rsidR="00000000" w:rsidDel="00000000" w:rsidP="00000000" w:rsidRDefault="00000000" w:rsidRPr="00000000" w14:paraId="000001D4">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rozpočtová stratégia a rozpočet SLSK  - tvorba, schvaľovanie, priebežná kontrola, rezervy</w:t>
              <w:tab/>
            </w:r>
          </w:p>
          <w:p w:rsidR="00000000" w:rsidDel="00000000" w:rsidP="00000000" w:rsidRDefault="00000000" w:rsidRPr="00000000" w14:paraId="000001D5">
            <w:pPr>
              <w:pageBreakBefore w:val="0"/>
              <w:numPr>
                <w:ilvl w:val="0"/>
                <w:numId w:val="8"/>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fundraising - zásady, cieľová skupina/persona, proces, chyby, spôsoby: kampane, crowdfunding, granty, donori a starostlivosť o nich</w:t>
              <w:tab/>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1D7">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shd w:fill="f3f3f3" w:val="clear"/>
            <w:tcMar>
              <w:top w:w="100.0" w:type="dxa"/>
              <w:left w:w="100.0" w:type="dxa"/>
              <w:bottom w:w="100.0" w:type="dxa"/>
              <w:right w:w="100.0" w:type="dxa"/>
            </w:tcMar>
          </w:tcPr>
          <w:p w:rsidR="00000000" w:rsidDel="00000000" w:rsidP="00000000" w:rsidRDefault="00000000" w:rsidRPr="00000000" w14:paraId="000001D8">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sa spolupodieľať na tvorbe rozpočtovej stratégie SLSK na základe aktuálnych zdrojov a výdavkov organizácie.</w:t>
              <w:tab/>
            </w:r>
          </w:p>
        </w:tc>
        <w:tc>
          <w:tcPr>
            <w:shd w:fill="auto" w:val="clear"/>
            <w:tcMar>
              <w:top w:w="100.0" w:type="dxa"/>
              <w:left w:w="100.0" w:type="dxa"/>
              <w:bottom w:w="100.0" w:type="dxa"/>
              <w:right w:w="100.0" w:type="dxa"/>
            </w:tcMar>
          </w:tcPr>
          <w:p w:rsidR="00000000" w:rsidDel="00000000" w:rsidP="00000000" w:rsidRDefault="00000000" w:rsidRPr="00000000" w14:paraId="000001DA">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1DB">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skúška - praktické zadanie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C">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zhodnotiť súčasný stav fundraisingu SLSK a podieľať sa na jeho rozvoji.</w:t>
              <w:tab/>
            </w:r>
          </w:p>
        </w:tc>
        <w:tc>
          <w:tcPr>
            <w:shd w:fill="auto" w:val="clear"/>
            <w:tcMar>
              <w:top w:w="100.0" w:type="dxa"/>
              <w:left w:w="100.0" w:type="dxa"/>
              <w:bottom w:w="100.0" w:type="dxa"/>
              <w:right w:w="100.0" w:type="dxa"/>
            </w:tcMar>
          </w:tcPr>
          <w:p w:rsidR="00000000" w:rsidDel="00000000" w:rsidP="00000000" w:rsidRDefault="00000000" w:rsidRPr="00000000" w14:paraId="000001DD">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1DE">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skúška - praktické zadanie</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DF">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1E0">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1E1">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1E3">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22"/>
        <w:tblW w:w="10245.0" w:type="dxa"/>
        <w:jc w:val="left"/>
        <w:tblInd w:w="-4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0"/>
        <w:gridCol w:w="4395"/>
        <w:gridCol w:w="2700"/>
        <w:tblGridChange w:id="0">
          <w:tblGrid>
            <w:gridCol w:w="3150"/>
            <w:gridCol w:w="4395"/>
            <w:gridCol w:w="2700"/>
          </w:tblGrid>
        </w:tblGridChange>
      </w:tblGrid>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1E4">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Riskmanagement organizácie a akcií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1E6">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3"/>
            <w:vMerge w:val="restart"/>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E7">
            <w:pPr>
              <w:pageBreakBefore w:val="0"/>
              <w:numPr>
                <w:ilvl w:val="0"/>
                <w:numId w:val="2"/>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riskmanagement - definícia, postupy a metódy sledovania</w:t>
            </w:r>
          </w:p>
          <w:p w:rsidR="00000000" w:rsidDel="00000000" w:rsidP="00000000" w:rsidRDefault="00000000" w:rsidRPr="00000000" w14:paraId="000001E8">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identifikovanie rizika, vyhodnotenie jeho závažnosti, prijatie opatrení (TRACA metóda), monitoring dopadu a zmien"</w:t>
              <w:tab/>
            </w:r>
          </w:p>
          <w:p w:rsidR="00000000" w:rsidDel="00000000" w:rsidP="00000000" w:rsidRDefault="00000000" w:rsidRPr="00000000" w14:paraId="000001E9">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riskmanagement na rôznych úrovniach organizácie - zbor, oblasť, národná úroveň</w:t>
              <w:tab/>
            </w:r>
          </w:p>
          <w:p w:rsidR="00000000" w:rsidDel="00000000" w:rsidP="00000000" w:rsidRDefault="00000000" w:rsidRPr="00000000" w14:paraId="000001EA">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safe from harm a ochrana detí</w:t>
              <w:tab/>
            </w:r>
          </w:p>
          <w:p w:rsidR="00000000" w:rsidDel="00000000" w:rsidP="00000000" w:rsidRDefault="00000000" w:rsidRPr="00000000" w14:paraId="000001EB">
            <w:pPr>
              <w:pageBreakBefore w:val="0"/>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prevencia a krízové riešenie vzniknutej situácie</w:t>
              <w:tab/>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3"/>
            <w:vMerge w:val="continue"/>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3f3f3" w:val="clear"/>
            <w:tcMar>
              <w:top w:w="100.0" w:type="dxa"/>
              <w:left w:w="100.0" w:type="dxa"/>
              <w:bottom w:w="100.0" w:type="dxa"/>
              <w:right w:w="100.0" w:type="dxa"/>
            </w:tcMar>
          </w:tcPr>
          <w:p w:rsidR="00000000" w:rsidDel="00000000" w:rsidP="00000000" w:rsidRDefault="00000000" w:rsidRPr="00000000" w14:paraId="000001FA">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Inštruktor:</w:t>
            </w:r>
          </w:p>
        </w:tc>
        <w:tc>
          <w:tcPr>
            <w:tcBorders>
              <w:top w:color="000000" w:space="0" w:sz="4" w:val="single"/>
              <w:left w:color="000000" w:space="0" w:sz="4" w:val="single"/>
              <w:bottom w:color="000000" w:space="0" w:sz="4" w:val="single"/>
              <w:right w:color="000000" w:space="0" w:sz="4" w:val="single"/>
            </w:tcBorders>
            <w:shd w:fill="f3f3f3" w:val="clear"/>
            <w:tcMar>
              <w:top w:w="100.0" w:type="dxa"/>
              <w:left w:w="100.0" w:type="dxa"/>
              <w:bottom w:w="100.0" w:type="dxa"/>
              <w:right w:w="100.0" w:type="dxa"/>
            </w:tcMar>
          </w:tcPr>
          <w:p w:rsidR="00000000" w:rsidDel="00000000" w:rsidP="00000000" w:rsidRDefault="00000000" w:rsidRPr="00000000" w14:paraId="000001FB">
            <w:pPr>
              <w:pageBreakBefore w:val="0"/>
              <w:widowControl w:val="0"/>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Mar>
              <w:top w:w="100.0" w:type="dxa"/>
              <w:left w:w="100.0" w:type="dxa"/>
              <w:bottom w:w="100.0" w:type="dxa"/>
              <w:right w:w="100.0" w:type="dxa"/>
            </w:tcMar>
          </w:tcPr>
          <w:p w:rsidR="00000000" w:rsidDel="00000000" w:rsidP="00000000" w:rsidRDefault="00000000" w:rsidRPr="00000000" w14:paraId="000001FC">
            <w:pPr>
              <w:pageBreakBefore w:val="0"/>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 overenia</w:t>
            </w:r>
          </w:p>
        </w:tc>
      </w:tr>
      <w:tr>
        <w:trPr>
          <w:cantSplit w:val="0"/>
          <w:trHeight w:val="75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FD">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pripraviť riskmanagement plán organizácie a jednotlivých zložiek s praktickým výstupom.</w:t>
              <w:tab/>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1FF">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200">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skúška - praktické zadanie</w:t>
            </w:r>
          </w:p>
          <w:p w:rsidR="00000000" w:rsidDel="00000000" w:rsidP="00000000" w:rsidRDefault="00000000" w:rsidRPr="00000000" w14:paraId="00000201">
            <w:pPr>
              <w:pageBreakBefore w:val="0"/>
              <w:spacing w:after="0" w:line="240" w:lineRule="auto"/>
              <w:rPr>
                <w:rFonts w:ascii="Arial" w:cs="Arial" w:eastAsia="Arial" w:hAnsi="Arial"/>
                <w:sz w:val="20"/>
                <w:szCs w:val="20"/>
              </w:rPr>
            </w:pPr>
            <w:r w:rsidDel="00000000" w:rsidR="00000000" w:rsidRPr="00000000">
              <w:rPr>
                <w:rtl w:val="0"/>
              </w:rPr>
            </w:r>
          </w:p>
        </w:tc>
      </w:tr>
      <w:tr>
        <w:trPr>
          <w:cantSplit w:val="0"/>
          <w:trHeight w:val="52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202">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203">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204">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207">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23"/>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208">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Tvorba základných dokumentov a pravidiel fungovania organizácie</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09">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0A">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hierarchia riadiacich aktov SLSK - dokumentov (stanovy, OP, IS, ) a uznesení (Skautského snemu, Malého snemu, N-SLSK,...) </w:t>
              <w:tab/>
            </w:r>
          </w:p>
          <w:p w:rsidR="00000000" w:rsidDel="00000000" w:rsidP="00000000" w:rsidRDefault="00000000" w:rsidRPr="00000000" w14:paraId="0000020B">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tvorba predpisov a dokumentov organizácie - schvaľovateľ, proces, zapojenia všetkých strán, ktorých sa to týka, interná smernica N-SLSK č. 1 Tvorba interných riadiacich aktov SLSK</w:t>
              <w:tab/>
            </w:r>
          </w:p>
          <w:p w:rsidR="00000000" w:rsidDel="00000000" w:rsidP="00000000" w:rsidRDefault="00000000" w:rsidRPr="00000000" w14:paraId="0000020C">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WOSM a WAGGGS dokumenty potrebné pre SLSK a určuje vzťahy a záväzky SLSK</w:t>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E">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F">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10">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zodpovedne vytvárať a upravovať riadiace akty (dokumenty a predpisy ) SLSK s ohľadom na ich hierarchiu a zúčastnené strany. </w:t>
              <w:tab/>
            </w:r>
          </w:p>
        </w:tc>
        <w:tc>
          <w:tcPr>
            <w:shd w:fill="auto" w:val="clear"/>
            <w:tcMar>
              <w:top w:w="100.0" w:type="dxa"/>
              <w:left w:w="100.0" w:type="dxa"/>
              <w:bottom w:w="100.0" w:type="dxa"/>
              <w:right w:w="100.0" w:type="dxa"/>
            </w:tcMar>
          </w:tcPr>
          <w:p w:rsidR="00000000" w:rsidDel="00000000" w:rsidP="00000000" w:rsidRDefault="00000000" w:rsidRPr="00000000" w14:paraId="00000211">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212">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 - praktické zadanie</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13">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214">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215">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217">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24"/>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218">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Národná úroveň</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19">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1A">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kompetencie a právomoci Skautského snemu, Malého snemu, Náčelníctva SLSK, riaditeľa a samotného Ú-SLSK </w:t>
              <w:tab/>
            </w:r>
            <w:r w:rsidDel="00000000" w:rsidR="00000000" w:rsidRPr="00000000">
              <w:rPr>
                <w:rtl w:val="0"/>
              </w:rPr>
            </w:r>
          </w:p>
          <w:p w:rsidR="00000000" w:rsidDel="00000000" w:rsidP="00000000" w:rsidRDefault="00000000" w:rsidRPr="00000000" w14:paraId="0000021B">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Stratégia vs. operatíva - N-SLSK ako strategický orgán SLSK a Ú-SLSK s radami ako výkonné/operatívne orgány SLSK</w:t>
              <w:tab/>
            </w:r>
            <w:r w:rsidDel="00000000" w:rsidR="00000000" w:rsidRPr="00000000">
              <w:rPr>
                <w:rtl w:val="0"/>
              </w:rPr>
            </w:r>
          </w:p>
          <w:p w:rsidR="00000000" w:rsidDel="00000000" w:rsidP="00000000" w:rsidRDefault="00000000" w:rsidRPr="00000000" w14:paraId="0000021C">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integrity managment organizácie - čo potrebujeme aby bola naša organizácia dôveryhodná, vnútorne stabilná a zrozumiteľne vyprofilovaná</w:t>
              <w:tab/>
            </w:r>
            <w:r w:rsidDel="00000000" w:rsidR="00000000" w:rsidRPr="00000000">
              <w:rPr>
                <w:rtl w:val="0"/>
              </w:rPr>
            </w:r>
          </w:p>
          <w:p w:rsidR="00000000" w:rsidDel="00000000" w:rsidP="00000000" w:rsidRDefault="00000000" w:rsidRPr="00000000" w14:paraId="0000021D">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fungovanie a procesy na národnej úrovni - spolupráca medzi N-SLSK a Ú-SLSK, radami, prepojenie s oblastnou úrovňou</w:t>
              <w:tab/>
            </w:r>
            <w:r w:rsidDel="00000000" w:rsidR="00000000" w:rsidRPr="00000000">
              <w:rPr>
                <w:rtl w:val="0"/>
              </w:rPr>
            </w:r>
          </w:p>
          <w:p w:rsidR="00000000" w:rsidDel="00000000" w:rsidP="00000000" w:rsidRDefault="00000000" w:rsidRPr="00000000" w14:paraId="0000021E">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fungovanie a procesy na Ústredí SLSK - vzťah riaditeľa Ú-SLSK voči N-SLSK, zloženie Ú-SLSK, aktuálne projekty národnej úrovne</w:t>
              <w:tab/>
            </w:r>
            <w:r w:rsidDel="00000000" w:rsidR="00000000" w:rsidRPr="00000000">
              <w:rPr>
                <w:rtl w:val="0"/>
              </w:rPr>
            </w:r>
          </w:p>
          <w:p w:rsidR="00000000" w:rsidDel="00000000" w:rsidP="00000000" w:rsidRDefault="00000000" w:rsidRPr="00000000" w14:paraId="0000021F">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postavenie SLSK na poli mládežníckych organizácii, RMS a voči ministerstvu školstva, vedy, výskumu a športu</w:t>
            </w:r>
            <w:r w:rsidDel="00000000" w:rsidR="00000000" w:rsidRPr="00000000">
              <w:rPr>
                <w:rtl w:val="0"/>
              </w:rPr>
            </w:r>
          </w:p>
          <w:p w:rsidR="00000000" w:rsidDel="00000000" w:rsidP="00000000" w:rsidRDefault="00000000" w:rsidRPr="00000000" w14:paraId="00000220">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postavenie a zaradenie SLSK do medzinárodných skautských štruktúr na regionálnej aj celosvetovej úrovni - Krakowská skupina,  V4, WOSM, WAGGGS, ISGF</w:t>
            </w:r>
            <w:r w:rsidDel="00000000" w:rsidR="00000000" w:rsidRPr="00000000">
              <w:rPr>
                <w:rtl w:val="0"/>
              </w:rPr>
            </w:r>
          </w:p>
          <w:p w:rsidR="00000000" w:rsidDel="00000000" w:rsidP="00000000" w:rsidRDefault="00000000" w:rsidRPr="00000000" w14:paraId="00000221">
            <w:pPr>
              <w:pageBreakBefore w:val="0"/>
              <w:numPr>
                <w:ilvl w:val="0"/>
                <w:numId w:val="9"/>
              </w:numPr>
              <w:spacing w:after="0" w:line="240" w:lineRule="auto"/>
              <w:ind w:left="720" w:hanging="360"/>
              <w:rPr>
                <w:rFonts w:ascii="Roboto" w:cs="Roboto" w:eastAsia="Roboto" w:hAnsi="Roboto"/>
                <w:sz w:val="20"/>
                <w:szCs w:val="20"/>
                <w:highlight w:val="white"/>
              </w:rPr>
            </w:pPr>
            <w:r w:rsidDel="00000000" w:rsidR="00000000" w:rsidRPr="00000000">
              <w:rPr>
                <w:rFonts w:ascii="Arial" w:cs="Arial" w:eastAsia="Arial" w:hAnsi="Arial"/>
                <w:sz w:val="20"/>
                <w:szCs w:val="20"/>
                <w:rtl w:val="0"/>
              </w:rPr>
              <w:t xml:space="preserve">možnosti podpory - WOSM services,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3">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4">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5">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Pozná zloženie, kompetencie a právomoci jednotlivých orgánov a zložiek na národnej úrovni a rozumie rozdeleniu strategických a výkonných rolí na národnej úrovni.</w:t>
              <w:tab/>
            </w:r>
          </w:p>
        </w:tc>
        <w:tc>
          <w:tcPr>
            <w:shd w:fill="auto" w:val="clear"/>
            <w:tcMar>
              <w:top w:w="100.0" w:type="dxa"/>
              <w:left w:w="100.0" w:type="dxa"/>
              <w:bottom w:w="100.0" w:type="dxa"/>
              <w:right w:w="100.0" w:type="dxa"/>
            </w:tcMar>
          </w:tcPr>
          <w:p w:rsidR="00000000" w:rsidDel="00000000" w:rsidP="00000000" w:rsidRDefault="00000000" w:rsidRPr="00000000" w14:paraId="00000226">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 - teoretická časť</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kriticky zhodnotiť fungovanie N-SLSK, jednotlivých rád a Ú-SLSK a priniesť návrhy na zlepšenie fungovanie národnej úrovne.</w:t>
              <w:tab/>
            </w:r>
          </w:p>
        </w:tc>
        <w:tc>
          <w:tcPr>
            <w:shd w:fill="auto" w:val="clear"/>
            <w:tcMar>
              <w:top w:w="100.0" w:type="dxa"/>
              <w:left w:w="100.0" w:type="dxa"/>
              <w:bottom w:w="100.0" w:type="dxa"/>
              <w:right w:w="100.0" w:type="dxa"/>
            </w:tcMar>
          </w:tcPr>
          <w:p w:rsidR="00000000" w:rsidDel="00000000" w:rsidP="00000000" w:rsidRDefault="00000000" w:rsidRPr="00000000" w14:paraId="00000228">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Pozná postavenie SLSK na poli mládežníckych organizácií (Rada mládeže Slovenska), voči štátnym orgánom a inštitúciám a v medzinárodných skautských organizáciách.</w:t>
              <w:tab/>
            </w:r>
          </w:p>
        </w:tc>
        <w:tc>
          <w:tcPr>
            <w:shd w:fill="auto" w:val="clear"/>
            <w:tcMar>
              <w:top w:w="100.0" w:type="dxa"/>
              <w:left w:w="100.0" w:type="dxa"/>
              <w:bottom w:w="100.0" w:type="dxa"/>
              <w:right w:w="100.0" w:type="dxa"/>
            </w:tcMar>
          </w:tcPr>
          <w:p w:rsidR="00000000" w:rsidDel="00000000" w:rsidP="00000000" w:rsidRDefault="00000000" w:rsidRPr="00000000" w14:paraId="0000022A">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p w:rsidR="00000000" w:rsidDel="00000000" w:rsidP="00000000" w:rsidRDefault="00000000" w:rsidRPr="00000000" w14:paraId="0000022B">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skúšky</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2C">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22D">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22E">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230">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25"/>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231">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Oblastná úroveň</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32">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33">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kompetencie, právomoci a poslanie oblastí, spolupráca s národnou úrovňou, zbormi a inými partnermi a zložkami</w:t>
              <w:tab/>
            </w:r>
          </w:p>
          <w:p w:rsidR="00000000" w:rsidDel="00000000" w:rsidP="00000000" w:rsidRDefault="00000000" w:rsidRPr="00000000" w14:paraId="00000234">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zloženie a vedenie oblastnej rady a 2. kapitola OP Oblasť</w:t>
              <w:tab/>
            </w:r>
          </w:p>
          <w:p w:rsidR="00000000" w:rsidDel="00000000" w:rsidP="00000000" w:rsidRDefault="00000000" w:rsidRPr="00000000" w14:paraId="00000235">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úspešné vedenie, rozvoj a rast oblasti</w:t>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7">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8">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Rozumie postaveniu a poslaniu oblastí v SLSK a je schopný spolupodieľať sa na vedení a rozvoji oblasti.</w:t>
              <w:tab/>
              <w:t xml:space="preserve">Pozná aktuálny stav oblasti, v ktorej vyrastal.</w:t>
            </w:r>
          </w:p>
        </w:tc>
        <w:tc>
          <w:tcPr>
            <w:shd w:fill="auto" w:val="clear"/>
            <w:tcMar>
              <w:top w:w="100.0" w:type="dxa"/>
              <w:left w:w="100.0" w:type="dxa"/>
              <w:bottom w:w="100.0" w:type="dxa"/>
              <w:right w:w="100.0" w:type="dxa"/>
            </w:tcMar>
          </w:tcPr>
          <w:p w:rsidR="00000000" w:rsidDel="00000000" w:rsidP="00000000" w:rsidRDefault="00000000" w:rsidRPr="00000000" w14:paraId="0000023A">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br w:type="textWrapping"/>
              <w:t xml:space="preserve">skúšky</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3B">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23C">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23D">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23F">
      <w:pPr>
        <w:pageBreakBefore w:val="0"/>
        <w:spacing w:after="0" w:line="240" w:lineRule="auto"/>
        <w:jc w:val="both"/>
        <w:rPr>
          <w:rFonts w:ascii="Arial" w:cs="Arial" w:eastAsia="Arial" w:hAnsi="Arial"/>
          <w:sz w:val="20"/>
          <w:szCs w:val="20"/>
        </w:rPr>
      </w:pPr>
      <w:r w:rsidDel="00000000" w:rsidR="00000000" w:rsidRPr="00000000">
        <w:rPr>
          <w:rtl w:val="0"/>
        </w:rPr>
      </w:r>
    </w:p>
    <w:tbl>
      <w:tblPr>
        <w:tblStyle w:val="Table26"/>
        <w:tblW w:w="1027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2730"/>
        <w:tblGridChange w:id="0">
          <w:tblGrid>
            <w:gridCol w:w="7545"/>
            <w:gridCol w:w="273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240">
            <w:pPr>
              <w:pageBreakBefore w:val="0"/>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Kontrolné mechanizmy</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241">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42">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fungovanie kontrolných mechanizmov v SLSK</w:t>
              <w:tab/>
            </w:r>
          </w:p>
          <w:p w:rsidR="00000000" w:rsidDel="00000000" w:rsidP="00000000" w:rsidRDefault="00000000" w:rsidRPr="00000000" w14:paraId="00000243">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konflikty záujmov v organizácii vplývajúce s činnosti a funkcií</w:t>
              <w:tab/>
            </w:r>
          </w:p>
          <w:p w:rsidR="00000000" w:rsidDel="00000000" w:rsidP="00000000" w:rsidRDefault="00000000" w:rsidRPr="00000000" w14:paraId="00000244">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disciplinárne konania</w:t>
              <w:tab/>
            </w:r>
          </w:p>
          <w:p w:rsidR="00000000" w:rsidDel="00000000" w:rsidP="00000000" w:rsidRDefault="00000000" w:rsidRPr="00000000" w14:paraId="00000245">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Zmierovacia rada</w:t>
              <w:tab/>
            </w:r>
          </w:p>
          <w:p w:rsidR="00000000" w:rsidDel="00000000" w:rsidP="00000000" w:rsidRDefault="00000000" w:rsidRPr="00000000" w14:paraId="00000246">
            <w:pPr>
              <w:pageBreakBefore w:val="0"/>
              <w:numPr>
                <w:ilvl w:val="0"/>
                <w:numId w:val="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Revízna rada</w:t>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8">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9">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Forma overenia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A">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Dokáže viesť disciplinárne konanie na základe platných predpisov.</w:t>
              <w:tab/>
            </w:r>
          </w:p>
        </w:tc>
        <w:tc>
          <w:tcPr>
            <w:shd w:fill="auto" w:val="clear"/>
            <w:tcMar>
              <w:top w:w="100.0" w:type="dxa"/>
              <w:left w:w="100.0" w:type="dxa"/>
              <w:bottom w:w="100.0" w:type="dxa"/>
              <w:right w:w="100.0" w:type="dxa"/>
            </w:tcMar>
          </w:tcPr>
          <w:p w:rsidR="00000000" w:rsidDel="00000000" w:rsidP="00000000" w:rsidRDefault="00000000" w:rsidRPr="00000000" w14:paraId="0000024B">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C">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Pozná činnosť, zloženie a kompetencie kontrolných orgánov SLSK - Zmierovacia a Revízna rada</w:t>
              <w:tab/>
            </w:r>
          </w:p>
        </w:tc>
        <w:tc>
          <w:tcPr>
            <w:shd w:fill="auto" w:val="clear"/>
            <w:tcMar>
              <w:top w:w="100.0" w:type="dxa"/>
              <w:left w:w="100.0" w:type="dxa"/>
              <w:bottom w:w="100.0" w:type="dxa"/>
              <w:right w:w="100.0" w:type="dxa"/>
            </w:tcMar>
          </w:tcPr>
          <w:p w:rsidR="00000000" w:rsidDel="00000000" w:rsidP="00000000" w:rsidRDefault="00000000" w:rsidRPr="00000000" w14:paraId="0000024D">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skúšky - teoretická otázka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E">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 schopný analyzovať konflikty záujmov v organizácii a navrhovať primerané opatrenia.</w:t>
              <w:tab/>
            </w:r>
          </w:p>
        </w:tc>
        <w:tc>
          <w:tcPr>
            <w:shd w:fill="auto" w:val="clear"/>
            <w:tcMar>
              <w:top w:w="100.0" w:type="dxa"/>
              <w:left w:w="100.0" w:type="dxa"/>
              <w:bottom w:w="100.0" w:type="dxa"/>
              <w:right w:w="100.0" w:type="dxa"/>
            </w:tcMar>
          </w:tcPr>
          <w:p w:rsidR="00000000" w:rsidDel="00000000" w:rsidP="00000000" w:rsidRDefault="00000000" w:rsidRPr="00000000" w14:paraId="0000024F">
            <w:pPr>
              <w:pageBreakBefore w:val="0"/>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odporúčanie tímu</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50">
            <w:pPr>
              <w:pageBreakBefore w:val="0"/>
              <w:spacing w:after="0" w:line="240" w:lineRule="auto"/>
              <w:rPr>
                <w:rFonts w:ascii="Arial" w:cs="Arial" w:eastAsia="Arial" w:hAnsi="Arial"/>
                <w:i w:val="1"/>
                <w:color w:val="999999"/>
                <w:sz w:val="20"/>
                <w:szCs w:val="20"/>
              </w:rPr>
            </w:pPr>
            <w:r w:rsidDel="00000000" w:rsidR="00000000" w:rsidRPr="00000000">
              <w:rPr>
                <w:rFonts w:ascii="Arial" w:cs="Arial" w:eastAsia="Arial" w:hAnsi="Arial"/>
                <w:i w:val="1"/>
                <w:color w:val="999999"/>
                <w:sz w:val="20"/>
                <w:szCs w:val="20"/>
                <w:rtl w:val="0"/>
              </w:rPr>
              <w:t xml:space="preserve">Miesto na poznámky</w:t>
            </w:r>
          </w:p>
          <w:p w:rsidR="00000000" w:rsidDel="00000000" w:rsidP="00000000" w:rsidRDefault="00000000" w:rsidRPr="00000000" w14:paraId="00000251">
            <w:pPr>
              <w:pageBreakBefore w:val="0"/>
              <w:spacing w:after="0" w:line="240"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252">
            <w:pPr>
              <w:pageBreakBefore w:val="0"/>
              <w:spacing w:after="0" w:line="240" w:lineRule="auto"/>
              <w:rPr>
                <w:rFonts w:ascii="Arial" w:cs="Arial" w:eastAsia="Arial" w:hAnsi="Arial"/>
                <w:i w:val="1"/>
                <w:color w:val="999999"/>
                <w:sz w:val="20"/>
                <w:szCs w:val="20"/>
              </w:rPr>
            </w:pPr>
            <w:r w:rsidDel="00000000" w:rsidR="00000000" w:rsidRPr="00000000">
              <w:rPr>
                <w:rtl w:val="0"/>
              </w:rPr>
            </w:r>
          </w:p>
        </w:tc>
      </w:tr>
    </w:tbl>
    <w:p w:rsidR="00000000" w:rsidDel="00000000" w:rsidP="00000000" w:rsidRDefault="00000000" w:rsidRPr="00000000" w14:paraId="00000254">
      <w:pPr>
        <w:pageBreakBefore w:val="0"/>
        <w:spacing w:after="0" w:line="240" w:lineRule="auto"/>
        <w:jc w:val="both"/>
        <w:rPr>
          <w:rFonts w:ascii="Arial" w:cs="Arial" w:eastAsia="Arial" w:hAnsi="Arial"/>
          <w:sz w:val="20"/>
          <w:szCs w:val="20"/>
        </w:rPr>
      </w:pPr>
      <w:r w:rsidDel="00000000" w:rsidR="00000000" w:rsidRPr="00000000">
        <w:rPr>
          <w:rtl w:val="0"/>
        </w:rPr>
      </w:r>
    </w:p>
    <w:sectPr>
      <w:headerReference r:id="rId7" w:type="default"/>
      <w:headerReference r:id="rId8" w:type="first"/>
      <w:footerReference r:id="rId9"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pageBreakBefore w:val="0"/>
      <w:spacing w:after="0" w:lineRule="auto"/>
      <w:ind w:right="-34"/>
      <w:jc w:val="center"/>
      <w:rPr>
        <w:sz w:val="16"/>
        <w:szCs w:val="16"/>
      </w:rPr>
    </w:pPr>
    <w:r w:rsidDel="00000000" w:rsidR="00000000" w:rsidRPr="00000000">
      <w:rPr>
        <w:rtl w:val="0"/>
      </w:rPr>
    </w:r>
  </w:p>
  <w:p w:rsidR="00000000" w:rsidDel="00000000" w:rsidP="00000000" w:rsidRDefault="00000000" w:rsidRPr="00000000" w14:paraId="0000025F">
    <w:pPr>
      <w:pageBreakBefore w:val="0"/>
      <w:spacing w:after="0" w:lineRule="auto"/>
      <w:ind w:right="-34"/>
      <w:jc w:val="center"/>
      <w:rPr>
        <w:sz w:val="16"/>
        <w:szCs w:val="16"/>
      </w:rPr>
    </w:pPr>
    <w:r w:rsidDel="00000000" w:rsidR="00000000" w:rsidRPr="00000000">
      <w:rPr>
        <w:sz w:val="16"/>
        <w:szCs w:val="16"/>
        <w:rtl w:val="0"/>
      </w:rPr>
      <w:t xml:space="preserve">Poslaním skautingu je prispieť k plnému rozvoju mladého človeka.</w:t>
    </w:r>
  </w:p>
  <w:p w:rsidR="00000000" w:rsidDel="00000000" w:rsidP="00000000" w:rsidRDefault="00000000" w:rsidRPr="00000000" w14:paraId="00000260">
    <w:pPr>
      <w:pageBreakBefore w:val="0"/>
      <w:spacing w:after="0" w:lineRule="auto"/>
      <w:ind w:right="-34"/>
      <w:jc w:val="center"/>
      <w:rPr>
        <w:sz w:val="16"/>
        <w:szCs w:val="16"/>
      </w:rPr>
    </w:pPr>
    <w:r w:rsidDel="00000000" w:rsidR="00000000" w:rsidRPr="00000000">
      <w:rPr>
        <w:sz w:val="16"/>
        <w:szCs w:val="16"/>
        <w:rtl w:val="0"/>
      </w:rPr>
      <w:t xml:space="preserve">Rozvíjame jeho vedomosti, schopnosti a postoje v telesnej, intelektuálnej, citovej, sociálnej, duchovnej a charakterovej oblasti.</w:t>
    </w:r>
  </w:p>
  <w:p w:rsidR="00000000" w:rsidDel="00000000" w:rsidP="00000000" w:rsidRDefault="00000000" w:rsidRPr="00000000" w14:paraId="00000261">
    <w:pPr>
      <w:pageBreakBefore w:val="0"/>
      <w:spacing w:after="0" w:lineRule="auto"/>
      <w:ind w:right="-34"/>
      <w:jc w:val="center"/>
      <w:rPr>
        <w:sz w:val="16"/>
        <w:szCs w:val="16"/>
      </w:rPr>
    </w:pPr>
    <w:r w:rsidDel="00000000" w:rsidR="00000000" w:rsidRPr="00000000">
      <w:rPr>
        <w:sz w:val="16"/>
        <w:szCs w:val="16"/>
        <w:rtl w:val="0"/>
      </w:rPr>
      <w:t xml:space="preserve">Slovenský skauting je členom svetových organizácií WOSM a WAGGGS.</w:t>
    </w:r>
  </w:p>
  <w:p w:rsidR="00000000" w:rsidDel="00000000" w:rsidP="00000000" w:rsidRDefault="00000000" w:rsidRPr="00000000" w14:paraId="00000262">
    <w:pPr>
      <w:pageBreakBefore w:val="0"/>
      <w:spacing w:after="0" w:lineRule="auto"/>
      <w:ind w:right="-34"/>
      <w:jc w:val="center"/>
      <w:rPr>
        <w:sz w:val="16"/>
        <w:szCs w:val="16"/>
      </w:rPr>
    </w:pPr>
    <w:r w:rsidDel="00000000" w:rsidR="00000000" w:rsidRPr="00000000">
      <w:rPr>
        <w:rtl w:val="0"/>
      </w:rPr>
    </w:r>
  </w:p>
  <w:p w:rsidR="00000000" w:rsidDel="00000000" w:rsidP="00000000" w:rsidRDefault="00000000" w:rsidRPr="00000000" w14:paraId="00000263">
    <w:pPr>
      <w:pageBreakBefore w:val="0"/>
      <w:spacing w:after="0" w:lineRule="auto"/>
      <w:ind w:right="-34"/>
      <w:jc w:val="center"/>
      <w:rPr>
        <w:sz w:val="16"/>
        <w:szCs w:val="16"/>
      </w:rPr>
    </w:pPr>
    <w:r w:rsidDel="00000000" w:rsidR="00000000" w:rsidRPr="00000000">
      <w:rPr>
        <w:sz w:val="16"/>
        <w:szCs w:val="16"/>
      </w:rPr>
      <w:drawing>
        <wp:inline distB="0" distT="0" distL="0" distR="0">
          <wp:extent cx="457200" cy="457200"/>
          <wp:effectExtent b="0" l="0" r="0" t="0"/>
          <wp:docPr descr="wosm brown pantone.jpg" id="6" name="image1.jpg"/>
          <a:graphic>
            <a:graphicData uri="http://schemas.openxmlformats.org/drawingml/2006/picture">
              <pic:pic>
                <pic:nvPicPr>
                  <pic:cNvPr descr="wosm brown pantone.jpg" id="0" name="image1.jpg"/>
                  <pic:cNvPicPr preferRelativeResize="0"/>
                </pic:nvPicPr>
                <pic:blipFill>
                  <a:blip r:embed="rId1"/>
                  <a:srcRect b="0" l="0" r="0" t="0"/>
                  <a:stretch>
                    <a:fillRect/>
                  </a:stretch>
                </pic:blipFill>
                <pic:spPr>
                  <a:xfrm>
                    <a:off x="0" y="0"/>
                    <a:ext cx="457200" cy="457200"/>
                  </a:xfrm>
                  <a:prstGeom prst="rect"/>
                  <a:ln/>
                </pic:spPr>
              </pic:pic>
            </a:graphicData>
          </a:graphic>
        </wp:inline>
      </w:drawing>
    </w:r>
    <w:r w:rsidDel="00000000" w:rsidR="00000000" w:rsidRPr="00000000">
      <w:rPr>
        <w:sz w:val="16"/>
        <w:szCs w:val="16"/>
        <w:rtl w:val="0"/>
      </w:rPr>
      <w:t xml:space="preserve">           </w:t>
    </w:r>
    <w:r w:rsidDel="00000000" w:rsidR="00000000" w:rsidRPr="00000000">
      <w:rPr>
        <w:sz w:val="16"/>
        <w:szCs w:val="16"/>
      </w:rPr>
      <w:drawing>
        <wp:inline distB="0" distT="0" distL="0" distR="0">
          <wp:extent cx="466090" cy="466090"/>
          <wp:effectExtent b="0" l="0" r="0" t="0"/>
          <wp:docPr descr="wagggs brown pantone.jpg" id="5" name="image3.jpg"/>
          <a:graphic>
            <a:graphicData uri="http://schemas.openxmlformats.org/drawingml/2006/picture">
              <pic:pic>
                <pic:nvPicPr>
                  <pic:cNvPr descr="wagggs brown pantone.jpg" id="0" name="image3.jpg"/>
                  <pic:cNvPicPr preferRelativeResize="0"/>
                </pic:nvPicPr>
                <pic:blipFill>
                  <a:blip r:embed="rId2"/>
                  <a:srcRect b="0" l="0" r="0" t="0"/>
                  <a:stretch>
                    <a:fillRect/>
                  </a:stretch>
                </pic:blipFill>
                <pic:spPr>
                  <a:xfrm>
                    <a:off x="0" y="0"/>
                    <a:ext cx="466090" cy="4660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pageBreakBefore w:val="0"/>
      <w:tabs>
        <w:tab w:val="center" w:leader="none" w:pos="5400"/>
        <w:tab w:val="left" w:leader="none" w:pos="9238"/>
      </w:tabs>
      <w:spacing w:after="0" w:lineRule="auto"/>
      <w:ind w:right="-34"/>
      <w:jc w:val="center"/>
      <w:rPr>
        <w:rFonts w:ascii="Times New Roman" w:cs="Times New Roman" w:eastAsia="Times New Roman" w:hAnsi="Times New Roman"/>
        <w:color w:val="862300"/>
        <w:sz w:val="16"/>
        <w:szCs w:val="16"/>
      </w:rPr>
    </w:pPr>
    <w:r w:rsidDel="00000000" w:rsidR="00000000" w:rsidRPr="00000000">
      <w:rPr>
        <w:rFonts w:ascii="Times New Roman" w:cs="Times New Roman" w:eastAsia="Times New Roman" w:hAnsi="Times New Roman"/>
        <w:color w:val="862300"/>
        <w:sz w:val="16"/>
        <w:szCs w:val="16"/>
      </w:rPr>
      <w:drawing>
        <wp:inline distB="0" distT="0" distL="0" distR="0">
          <wp:extent cx="3597275" cy="854075"/>
          <wp:effectExtent b="0" l="0" r="0" t="0"/>
          <wp:docPr descr="lalia_SLSK_CB" id="4" name="image2.jpg"/>
          <a:graphic>
            <a:graphicData uri="http://schemas.openxmlformats.org/drawingml/2006/picture">
              <pic:pic>
                <pic:nvPicPr>
                  <pic:cNvPr descr="lalia_SLSK_CB" id="0" name="image2.jpg"/>
                  <pic:cNvPicPr preferRelativeResize="0"/>
                </pic:nvPicPr>
                <pic:blipFill>
                  <a:blip r:embed="rId1"/>
                  <a:srcRect b="0" l="0" r="0" t="0"/>
                  <a:stretch>
                    <a:fillRect/>
                  </a:stretch>
                </pic:blipFill>
                <pic:spPr>
                  <a:xfrm>
                    <a:off x="0" y="0"/>
                    <a:ext cx="3597275" cy="854075"/>
                  </a:xfrm>
                  <a:prstGeom prst="rect"/>
                  <a:ln/>
                </pic:spPr>
              </pic:pic>
            </a:graphicData>
          </a:graphic>
        </wp:inline>
      </w:drawing>
    </w:r>
    <w:r w:rsidDel="00000000" w:rsidR="00000000" w:rsidRPr="00000000">
      <w:rPr>
        <w:rtl w:val="0"/>
      </w:rPr>
    </w:r>
  </w:p>
  <w:p w:rsidR="00000000" w:rsidDel="00000000" w:rsidP="00000000" w:rsidRDefault="00000000" w:rsidRPr="00000000" w14:paraId="00000256">
    <w:pPr>
      <w:pageBreakBefore w:val="0"/>
      <w:spacing w:after="0" w:lineRule="auto"/>
      <w:ind w:right="-34"/>
      <w:jc w:val="center"/>
      <w:rPr>
        <w:sz w:val="16"/>
        <w:szCs w:val="16"/>
      </w:rPr>
    </w:pPr>
    <w:r w:rsidDel="00000000" w:rsidR="00000000" w:rsidRPr="00000000">
      <w:rPr>
        <w:sz w:val="16"/>
        <w:szCs w:val="16"/>
        <w:rtl w:val="0"/>
      </w:rPr>
      <w:t xml:space="preserve">SLOVENSKÝ SKAUTING - ÚSTREDIE</w:t>
    </w:r>
  </w:p>
  <w:p w:rsidR="00000000" w:rsidDel="00000000" w:rsidP="00000000" w:rsidRDefault="00000000" w:rsidRPr="00000000" w14:paraId="00000257">
    <w:pPr>
      <w:pageBreakBefore w:val="0"/>
      <w:spacing w:after="0" w:lineRule="auto"/>
      <w:ind w:right="-34"/>
      <w:jc w:val="center"/>
      <w:rPr>
        <w:sz w:val="16"/>
        <w:szCs w:val="16"/>
      </w:rPr>
    </w:pPr>
    <w:r w:rsidDel="00000000" w:rsidR="00000000" w:rsidRPr="00000000">
      <w:rPr>
        <w:sz w:val="16"/>
        <w:szCs w:val="16"/>
        <w:rtl w:val="0"/>
      </w:rPr>
      <w:t xml:space="preserve">Mokrohájska cesta 6, 841 04  Bratislava, Tel.: +421 - 2 - 44 640 154, e-mail: ustredie@skauting.sk</w:t>
    </w:r>
  </w:p>
  <w:p w:rsidR="00000000" w:rsidDel="00000000" w:rsidP="00000000" w:rsidRDefault="00000000" w:rsidRPr="00000000" w14:paraId="00000258">
    <w:pPr>
      <w:pageBreakBefore w:val="0"/>
      <w:spacing w:after="0" w:lineRule="auto"/>
      <w:ind w:right="-34"/>
      <w:jc w:val="center"/>
      <w:rPr>
        <w:sz w:val="16"/>
        <w:szCs w:val="16"/>
      </w:rPr>
    </w:pPr>
    <w:r w:rsidDel="00000000" w:rsidR="00000000" w:rsidRPr="00000000">
      <w:rPr>
        <w:sz w:val="16"/>
        <w:szCs w:val="16"/>
        <w:rtl w:val="0"/>
      </w:rPr>
      <w:t xml:space="preserve">Bankové spojenie: Tatra banka, a.s. Bratislava, číslo účtu: 2660080180/1100, IČO: 00 598 721, DIČ: 2020795876</w:t>
    </w:r>
  </w:p>
  <w:p w:rsidR="00000000" w:rsidDel="00000000" w:rsidP="00000000" w:rsidRDefault="00000000" w:rsidRPr="00000000" w14:paraId="00000259">
    <w:pPr>
      <w:pageBreakBefore w:val="0"/>
      <w:spacing w:after="0" w:lineRule="auto"/>
      <w:ind w:right="-34"/>
      <w:jc w:val="center"/>
      <w:rPr>
        <w:sz w:val="16"/>
        <w:szCs w:val="16"/>
      </w:rPr>
    </w:pPr>
    <w:r w:rsidDel="00000000" w:rsidR="00000000" w:rsidRPr="00000000">
      <w:rPr>
        <w:sz w:val="16"/>
        <w:szCs w:val="16"/>
        <w:rtl w:val="0"/>
      </w:rPr>
      <w:t xml:space="preserve">www.skauting.sk</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Intern</w:t>
    </w:r>
    <w:r w:rsidDel="00000000" w:rsidR="00000000" w:rsidRPr="00000000">
      <w:rPr>
        <w:rFonts w:ascii="Arial" w:cs="Arial" w:eastAsia="Arial" w:hAnsi="Arial"/>
        <w:b w:val="1"/>
        <w:sz w:val="20"/>
        <w:szCs w:val="20"/>
        <w:rtl w:val="0"/>
      </w:rPr>
      <w:t xml:space="preserve">á smernica RpV </w:t>
    </w:r>
    <w:r w:rsidDel="00000000" w:rsidR="00000000" w:rsidRPr="00000000">
      <w:rPr>
        <w:rFonts w:ascii="Arial" w:cs="Arial" w:eastAsia="Arial" w:hAnsi="Arial"/>
        <w:b w:val="1"/>
        <w:color w:val="000000"/>
        <w:sz w:val="20"/>
        <w:szCs w:val="20"/>
        <w:rtl w:val="0"/>
      </w:rPr>
      <w:t xml:space="preserve">č. </w:t>
    </w:r>
    <w:r w:rsidDel="00000000" w:rsidR="00000000" w:rsidRPr="00000000">
      <w:rPr>
        <w:rFonts w:ascii="Arial" w:cs="Arial" w:eastAsia="Arial" w:hAnsi="Arial"/>
        <w:b w:val="1"/>
        <w:sz w:val="20"/>
        <w:szCs w:val="20"/>
        <w:rtl w:val="0"/>
      </w:rPr>
      <w:t xml:space="preserve">04 </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OBSAHOVÁ NÁPLŇ GILWELLSKEJ INŠTRUKTORSKEJ LESNEJ ŠKOLY A KOMPETENČNÝ PROFIL PRE HODNOSŤ INŠTRUKTOR</w:t>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verzia: </w:t>
    </w:r>
    <w:r w:rsidDel="00000000" w:rsidR="00000000" w:rsidRPr="00000000">
      <w:rPr>
        <w:rFonts w:ascii="Arial" w:cs="Arial" w:eastAsia="Arial" w:hAnsi="Arial"/>
        <w:b w:val="1"/>
        <w:sz w:val="20"/>
        <w:szCs w:val="20"/>
        <w:rtl w:val="0"/>
      </w:rPr>
      <w:t xml:space="preserve">02</w:t>
    </w:r>
    <w:r w:rsidDel="00000000" w:rsidR="00000000" w:rsidRPr="00000000">
      <w:rPr>
        <w:rtl w:val="0"/>
      </w:rPr>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Strana č.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paragraph" w:styleId="Nadpis1">
    <w:name w:val="heading 1"/>
    <w:basedOn w:val="Normlny"/>
    <w:next w:val="Normlny"/>
    <w:uiPriority w:val="9"/>
    <w:qFormat w:val="1"/>
    <w:pPr>
      <w:keepNext w:val="1"/>
      <w:keepLines w:val="1"/>
      <w:spacing w:after="120" w:before="480"/>
      <w:outlineLvl w:val="0"/>
    </w:pPr>
    <w:rPr>
      <w:b w:val="1"/>
      <w:sz w:val="48"/>
      <w:szCs w:val="48"/>
    </w:rPr>
  </w:style>
  <w:style w:type="paragraph" w:styleId="Nadpis2">
    <w:name w:val="heading 2"/>
    <w:basedOn w:val="Normlny"/>
    <w:next w:val="Normlny"/>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y"/>
    <w:next w:val="Normlny"/>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y"/>
    <w:next w:val="Normlny"/>
    <w:uiPriority w:val="9"/>
    <w:semiHidden w:val="1"/>
    <w:unhideWhenUsed w:val="1"/>
    <w:qFormat w:val="1"/>
    <w:pPr>
      <w:keepNext w:val="1"/>
      <w:keepLines w:val="1"/>
      <w:spacing w:after="40" w:before="220"/>
      <w:outlineLvl w:val="4"/>
    </w:pPr>
    <w:rPr>
      <w:b w:val="1"/>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120" w:before="480"/>
    </w:pPr>
    <w:rPr>
      <w:b w:val="1"/>
      <w:sz w:val="72"/>
      <w:szCs w:val="72"/>
    </w:rPr>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table" w:styleId="a1" w:customStyle="1">
    <w:basedOn w:val="TableNormal"/>
    <w:pPr>
      <w:spacing w:after="0" w:line="240" w:lineRule="auto"/>
    </w:pPr>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paragraph" w:styleId="Odsekzoznamu">
    <w:name w:val="List Paragraph"/>
    <w:basedOn w:val="Normlny"/>
    <w:uiPriority w:val="34"/>
    <w:qFormat w:val="1"/>
    <w:rsid w:val="00E83A0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6">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IVod5UtOc1UB8owW0AQmgAQBhQ==">AMUW2mVhwQgDXSmPjvyKSvBbPZ9LzORnEUOZ7OScUwnoijQ3NvrWQ8ai1kI5cJ8olkXkySZDe4cK8jrvd+z0fBw3M9zuMc6JwHjulZ8IG3j2HAiDECxwMBI=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2021-02-01T12:03:00Z</dcterms:created>
</cp:coreProperties>
</file>