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1"/>
        <w:gridCol w:w="6777"/>
        <w:tblGridChange w:id="0">
          <w:tblGrid>
            <w:gridCol w:w="2511"/>
            <w:gridCol w:w="6777"/>
          </w:tblGrid>
        </w:tblGridChange>
      </w:tblGrid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verzia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dátum platnosti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24.5.2022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dátum účinnosti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6.6.2022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schválil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Predseda RpV dňa 24.5.2022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autor/navrhovateľ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Pavol Marcinčin, Monika Lezová, Lucia Demková, Veronika Babálová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Interná smernica RpV č. 19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MODULY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2339"/>
        <w:gridCol w:w="2339"/>
        <w:gridCol w:w="2725"/>
        <w:tblGridChange w:id="0">
          <w:tblGrid>
            <w:gridCol w:w="1809"/>
            <w:gridCol w:w="2339"/>
            <w:gridCol w:w="2339"/>
            <w:gridCol w:w="272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História predošlých verzií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číslo verzie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účinnosť 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účinnosť 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5812"/>
        <w:gridCol w:w="1591"/>
        <w:tblGridChange w:id="0">
          <w:tblGrid>
            <w:gridCol w:w="1809"/>
            <w:gridCol w:w="5812"/>
            <w:gridCol w:w="159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Zoznam príloh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číslo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názov prílohy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počet strán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0" w:right="2318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2318" w:right="231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PREAMBULA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Rada pre vzdelávanie (ďalej len „RpV“) v súlade s Organizačným poriadkom, Kapitolou 8 vydáva Internú smernicu RpV  č. 19 (ďalej len „IS“) – Moduly.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VŠEOBECNÉ A OSOBITNÉ USTANOVENIA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-24" w:right="-2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b w:val="1"/>
          <w:rtl w:val="0"/>
        </w:rPr>
        <w:t xml:space="preserve">Základná </w:t>
      </w:r>
      <w:r w:rsidDel="00000000" w:rsidR="00000000" w:rsidRPr="00000000">
        <w:rPr>
          <w:b w:val="1"/>
          <w:rtl w:val="0"/>
        </w:rPr>
        <w:t xml:space="preserve">charakteristika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3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Modul je zložka vzdelávacieho systému SLSK, ktorá v skautskom vzdelávaní dopĺňa vzdelávacie stupne a voľné vzdelávacie kurzy. 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3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Cieľom modulov je poskytnúť vzdelávanie z čiastkových tém primárne na lokálnej úrovni, pričom absolvovanie modulového kurzu priamo neoprávňuje ku konkrétnej funkcii v SLSK. 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3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Modul je v porovnaní s ostatnými zložkami vzdelávania SLSK, obsahovo najkratší. Odporúčaná dĺžka obsahových náplní je dokopy v rozsahu 3-8 hodín. V prípade potreby je možné zrealizovať niekoľko modulov v rámci jednej vzdelávacej akcie, čomu bude zodpovedať aj dĺžka vzdelávacích </w:t>
      </w:r>
      <w:r w:rsidDel="00000000" w:rsidR="00000000" w:rsidRPr="00000000">
        <w:rPr>
          <w:rtl w:val="0"/>
        </w:rPr>
        <w:t xml:space="preserve">blokov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3"/>
        </w:numPr>
        <w:spacing w:line="240" w:lineRule="auto"/>
        <w:ind w:left="72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Moduly fungujú ako flexibilný celok pozostávajúci z viacerých vzdelávacích blokov k jednej téme, ktoré si organizátor modulu môže nastaviť podľa potrieb jeho cieľovej skupiny.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3"/>
        </w:numPr>
        <w:spacing w:line="240" w:lineRule="auto"/>
        <w:ind w:left="72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Ku všetkým dostupným modulom sú spracované samostatné Príručky k modulu, ktoré obsahujú všetko potrebné k realizácii modulu (obsahové náplne, formy vzdelávania, metodiky, tréningy, hand-outy…)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"/>
        </w:numPr>
        <w:spacing w:line="240" w:lineRule="auto"/>
        <w:ind w:left="720" w:right="-28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Kvalita modulov je zabezpečovaná cez garantov modulu s min. hodnosťou vodca alebo kapitán u vodných skautov a cez Príručku k modulu.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720" w:right="-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Cieľová skupina modulov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5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Cieľové skupiny môžu byť: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"/>
        </w:numPr>
        <w:spacing w:line="240" w:lineRule="auto"/>
        <w:ind w:left="1440" w:right="-28" w:hanging="360"/>
        <w:rPr/>
      </w:pPr>
      <w:r w:rsidDel="00000000" w:rsidR="00000000" w:rsidRPr="00000000">
        <w:rPr>
          <w:rtl w:val="0"/>
        </w:rPr>
        <w:t xml:space="preserve">bez konkrétnych obmedzení (napr. vek, hodnosť, vykonávaná funkcia) - napr. modul rozširujúci skautskú prax, zameraný na základy prvej pomoci…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spacing w:line="240" w:lineRule="auto"/>
        <w:ind w:left="1440" w:right="-28" w:hanging="360"/>
        <w:rPr/>
      </w:pPr>
      <w:r w:rsidDel="00000000" w:rsidR="00000000" w:rsidRPr="00000000">
        <w:rPr>
          <w:rtl w:val="0"/>
        </w:rPr>
        <w:t xml:space="preserve">s obmedzeniami (vek, hodnosť, funkcia, činovnícke postavenie) - napr. administratíva nižších organizačných zložiek, špecifiká fundraisingu na lokálnej úrovni, starostlivosť a prevádzkovanie klubovní…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5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Presné vymedzenie cieľovej skupiny súvisí so zameraním konkrétneho modulu a ak nie je určená Príručkou k modulu, definuje si ju organizátor modulu. 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right="-2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-24" w:right="-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Organizátor modulu a prednášateľ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7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Garantom modulu je člen SLSK s min. hodnosťou vodca alebo kapitán u vodných skautov, ktorý je zároveň zväčša aj jeho organizátorom.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7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Moduly sú organizované najmä na lokálnej úrovni (zbor, oddiel..), no v prípade potreby je možné modul organizovať aj na oblastnej alebo národnej úrovni.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7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Prednášanie a tréning modulu je zabezpečený prednášateľom s min. hodnosťou vodca alebo kapitán u vodných skautov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Pripúšťa sa i prednášateľ s min. hodnosťou líder, pričom v takom prípade príprava i realizácia vzdelávacieho bloku prebieha pod dohľadom člena SLSK s min. hodnosťou vodca alebo kapitán u vodných skautov. 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7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V prípade odborných tém sa pripúšťa možnosť prednášania odborníkom z danej oblasti, ktorý nemusí byť nutne členom SLSK či mať určenú hodnosť.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-24" w:right="-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IV, Realizácia modulu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4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Organizátor realizuje modul za pomoci Príručky k modulu.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Úspešné absolvovanie modulu je dosiahnuté skrz nadobudnutie kompetencií ktoré modul sleduje.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4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Ak forma realizácie modulu nie je striktne definovaná v príručke, je možné vybrať z viacerých možných foriem:</w:t>
      </w:r>
    </w:p>
    <w:p w:rsidR="00000000" w:rsidDel="00000000" w:rsidP="00000000" w:rsidRDefault="00000000" w:rsidRPr="00000000" w14:paraId="00000094">
      <w:pPr>
        <w:numPr>
          <w:ilvl w:val="0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Podľa počtu účastníkov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osobná inštruktáž s jednotlivcom príp. dvojicou 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vzdelávacie podujatie pre väčší počet účastníkov</w:t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Podľa prevedenia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prezenčná forma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dištančná forma (online kurz, samoštúdium, individuálne zadania, e-learning..)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hybridná forma (rozdelená čiastočne do prezenčnej a dištančnej formy)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Podľa počtu dní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konané v jeden deň</w:t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rozdelené do viacero dní (napr. forma večerných hodinových seminárov, viacdňový kurz..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4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Úlohou organizátora je zabezpečiť, aby účastník modulu nadobudol požadované kompetencie a tomu prispôsobil formu modulu.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0" w:right="-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right="-2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right="-28"/>
        <w:rPr>
          <w:b w:val="1"/>
        </w:rPr>
      </w:pPr>
      <w:r w:rsidDel="00000000" w:rsidR="00000000" w:rsidRPr="00000000">
        <w:rPr>
          <w:b w:val="1"/>
          <w:rtl w:val="0"/>
        </w:rPr>
        <w:t xml:space="preserve">V. Príručka k modulu 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8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Všetky samostatné spracované podklady pre moduly - Príručky k modulom sú k dispozícii voľne na webovom sídle skauting.sk a vo Vzdelávacej knižnici RpV.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8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Prehľad modulov, ku ktorým sú dostupné Príručky k modulu sú v zozname príloh tejto internej smernice (Príloha 1).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right="-2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right="-28"/>
        <w:rPr>
          <w:b w:val="1"/>
        </w:rPr>
      </w:pPr>
      <w:r w:rsidDel="00000000" w:rsidR="00000000" w:rsidRPr="00000000">
        <w:rPr>
          <w:b w:val="1"/>
          <w:rtl w:val="0"/>
        </w:rPr>
        <w:t xml:space="preserve">VI. Tvorba nového modulu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0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Členovia SLSK môžu v prípade potreby navrhnúť vlastný modul a to niekoľkými spôsobmi:</w:t>
      </w:r>
    </w:p>
    <w:p w:rsidR="00000000" w:rsidDel="00000000" w:rsidP="00000000" w:rsidRDefault="00000000" w:rsidRPr="00000000" w14:paraId="000000A7">
      <w:pPr>
        <w:widowControl w:val="0"/>
        <w:numPr>
          <w:ilvl w:val="1"/>
          <w:numId w:val="10"/>
        </w:numPr>
        <w:spacing w:line="240" w:lineRule="auto"/>
        <w:ind w:left="144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Návrh témy</w:t>
        <w:br w:type="textWrapping"/>
        <w:t xml:space="preserve">Pokiaľ má niekto návrh na tému, ktorá je pre organizáciu resp. lokálnu úroveň žiadaná, môže o nej informovať RpV prostredníctvom tajomníka RpV. Spolu s návrhom témy je nápomocné poskytnúť aj náčrt obsahovej náplne modulu a kompetenčného profilu účastníka.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numPr>
          <w:ilvl w:val="1"/>
          <w:numId w:val="10"/>
        </w:numPr>
        <w:spacing w:line="240" w:lineRule="auto"/>
        <w:ind w:left="144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Príprava Príručky k modulu</w:t>
        <w:br w:type="textWrapping"/>
        <w:t xml:space="preserve">Pokiaľ chce člen SLSK pripraviť tiež oficiálne metodické materiály pre organizátorov daného modulu - Príručku k modulu, môže tak spraviť na základe poverenia od predsedu RpV. Pri tvorbe metodiky, pritom vychádza z Manuálu pre tvorbu modulu, ktorú je možné si vypýtať od tajomníka RpV.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10"/>
        </w:numPr>
        <w:spacing w:line="240" w:lineRule="auto"/>
        <w:ind w:left="72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Bližšie informácie k tvorbe nového modulu sú dostupné v Manuáli pre tvorbu modulu.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0"/>
        </w:numPr>
        <w:spacing w:line="240" w:lineRule="auto"/>
        <w:ind w:left="720" w:right="-28" w:hanging="360"/>
        <w:rPr>
          <w:u w:val="none"/>
        </w:rPr>
      </w:pPr>
      <w:r w:rsidDel="00000000" w:rsidR="00000000" w:rsidRPr="00000000">
        <w:rPr>
          <w:rtl w:val="0"/>
        </w:rPr>
        <w:t xml:space="preserve">Po dohode autora modulu s predsedom RpV bude takto spracovaný materiál pre modul sprístupnený v rámci Vzdelávacej knižnice RpV, v archíve RpV a na webovej stránke SLSK.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right="-28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Ukončenie modulu a povinnosti organizátora s tým spojené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Úspešným absolvovaním modulu je overenie že účastník spĺňa kompetencie sledované modulom. Spôsob overenia kompetencií, ak nie je striktne určený Príručkou k modulu, si organizátor môže nastaviť sám. 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Po absolvovaní odovzdá organizátor absolventom certifikát.  Certifikáty k jednotlivým modulom nájdu organizátori na webovom sídle </w:t>
      </w:r>
      <w:hyperlink r:id="rId7">
        <w:r w:rsidDel="00000000" w:rsidR="00000000" w:rsidRPr="00000000">
          <w:rPr>
            <w:u w:val="single"/>
            <w:rtl w:val="0"/>
          </w:rPr>
          <w:t xml:space="preserve">www.skauting.sk</w:t>
        </w:r>
      </w:hyperlink>
      <w:r w:rsidDel="00000000" w:rsidR="00000000" w:rsidRPr="00000000">
        <w:rPr>
          <w:rtl w:val="0"/>
        </w:rPr>
        <w:t xml:space="preserve"> alebo si ich môžu vypýtať od tajomníka RpV.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Certifikát sa môže odovzdávať v tlačenom alebo elektronickom vyhotovení. 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Garant modulu svojím podpisom na certifikáte potvrdzuje, že účastník modulu nadobudol určené kompetencie. V prípade elektronickej podoby certifikátu sa akceptuje aj elektronický podpis.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Organizátor do 30 dní zaeviduje účastníkom absolvovanie modulu v informačnom systéme tee-pee</w:t>
      </w:r>
      <w:r w:rsidDel="00000000" w:rsidR="00000000" w:rsidRPr="00000000">
        <w:rPr>
          <w:rtl w:val="0"/>
        </w:rPr>
        <w:t xml:space="preserve"> a pošle tajomníkovi RpV správu o organizovaní modulu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V prípade ak sa modul organizuje na národnej úrovni, pošle organizátor modulu zoznam absolventov modulu a základné informácie o module tajomníkovi RpV, ktorý zabezpečí zaevidovanie absolvovania modulu v Tee-pee.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6"/>
        </w:numPr>
        <w:spacing w:line="240" w:lineRule="auto"/>
        <w:ind w:left="720" w:right="-28" w:hanging="360"/>
        <w:rPr/>
      </w:pPr>
      <w:r w:rsidDel="00000000" w:rsidR="00000000" w:rsidRPr="00000000">
        <w:rPr>
          <w:rtl w:val="0"/>
        </w:rPr>
        <w:t xml:space="preserve">Organizátor modul vykáže podľa Manuálu vykazovania podujatí. Prezenčnú listinu si necháva organizátor u seba (v zbore, oblasti..)</w:t>
      </w:r>
    </w:p>
    <w:p w:rsidR="00000000" w:rsidDel="00000000" w:rsidP="00000000" w:rsidRDefault="00000000" w:rsidRPr="00000000" w14:paraId="000000B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right="-2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ZÁVEREČNÉ A ZRUŠOVACIE USTANOVENIA</w:t>
      </w:r>
    </w:p>
    <w:p w:rsidR="00000000" w:rsidDel="00000000" w:rsidP="00000000" w:rsidRDefault="00000000" w:rsidRPr="00000000" w14:paraId="000000B7">
      <w:pPr>
        <w:numPr>
          <w:ilvl w:val="0"/>
          <w:numId w:val="11"/>
        </w:numPr>
        <w:spacing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Táto interná smernica je záväzná pre všetkých členov SLSK.</w:t>
      </w:r>
    </w:p>
    <w:p w:rsidR="00000000" w:rsidDel="00000000" w:rsidP="00000000" w:rsidRDefault="00000000" w:rsidRPr="00000000" w14:paraId="000000B8">
      <w:pPr>
        <w:numPr>
          <w:ilvl w:val="0"/>
          <w:numId w:val="11"/>
        </w:numPr>
        <w:spacing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Výnimku</w:t>
      </w:r>
      <w:r w:rsidDel="00000000" w:rsidR="00000000" w:rsidRPr="00000000">
        <w:rPr>
          <w:sz w:val="20"/>
          <w:szCs w:val="20"/>
          <w:rtl w:val="0"/>
        </w:rPr>
        <w:t xml:space="preserve"> z konkrétnych bodov môže udeliť oblastný inštruktor oblasti, pod ktorú spadá oddiel/zbor, v rámci ktorého sa modul organizuje. V prípade modulu organizovaného na oblastnej úrovni, udeľuje výnimku taktiež oblastný inštruktor. V prípade modulu organizovaného na národnej úrovni, udeľuje výnimku predseda RpV.</w:t>
      </w:r>
    </w:p>
    <w:p w:rsidR="00000000" w:rsidDel="00000000" w:rsidP="00000000" w:rsidRDefault="00000000" w:rsidRPr="00000000" w14:paraId="000000B9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Príloha 1: Zoznam spracovaných modulov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779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0"/>
        <w:gridCol w:w="2889"/>
        <w:tblGridChange w:id="0">
          <w:tblGrid>
            <w:gridCol w:w="2890"/>
            <w:gridCol w:w="28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Názov modulu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Dostupná metodika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Základy skautingu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Poslaním skautingu je prispieť k plnému rozvoju mladého človeka.</w:t>
    </w:r>
  </w:p>
  <w:p w:rsidR="00000000" w:rsidDel="00000000" w:rsidP="00000000" w:rsidRDefault="00000000" w:rsidRPr="00000000" w14:paraId="000000D3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Rozvíjame jeho vedomosti, schopnosti a postoje v telesnej, intelektuálnej, citovej, sociálnej, duchovnej a charakterovej oblasti.</w:t>
    </w:r>
  </w:p>
  <w:p w:rsidR="00000000" w:rsidDel="00000000" w:rsidP="00000000" w:rsidRDefault="00000000" w:rsidRPr="00000000" w14:paraId="000000D4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Slovenský skauting je členom svetových organizácií WOSM a WAGGGS.</w:t>
    </w:r>
  </w:p>
  <w:p w:rsidR="00000000" w:rsidDel="00000000" w:rsidP="00000000" w:rsidRDefault="00000000" w:rsidRPr="00000000" w14:paraId="000000D5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0" distT="0" distL="0" distR="0">
          <wp:extent cx="457200" cy="457200"/>
          <wp:effectExtent b="0" l="0" r="0" t="0"/>
          <wp:docPr descr="wosm brown pantone.jpg" id="24" name="image3.jpg"/>
          <a:graphic>
            <a:graphicData uri="http://schemas.openxmlformats.org/drawingml/2006/picture">
              <pic:pic>
                <pic:nvPicPr>
                  <pic:cNvPr descr="wosm brown pantone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0" distT="0" distL="0" distR="0">
          <wp:extent cx="466090" cy="466090"/>
          <wp:effectExtent b="0" l="0" r="0" t="0"/>
          <wp:docPr descr="wagggs brown pantone.jpg" id="23" name="image2.jpg"/>
          <a:graphic>
            <a:graphicData uri="http://schemas.openxmlformats.org/drawingml/2006/picture">
              <pic:pic>
                <pic:nvPicPr>
                  <pic:cNvPr descr="wagggs brown pantone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tabs>
        <w:tab w:val="center" w:pos="5400"/>
        <w:tab w:val="left" w:pos="9238"/>
      </w:tabs>
      <w:ind w:right="-34"/>
      <w:jc w:val="center"/>
      <w:rPr>
        <w:rFonts w:ascii="Times New Roman" w:cs="Times New Roman" w:eastAsia="Times New Roman" w:hAnsi="Times New Roman"/>
        <w:color w:val="8623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862300"/>
        <w:sz w:val="16"/>
        <w:szCs w:val="16"/>
      </w:rPr>
      <w:drawing>
        <wp:inline distB="0" distT="0" distL="0" distR="0">
          <wp:extent cx="3597275" cy="854075"/>
          <wp:effectExtent b="0" l="0" r="0" t="0"/>
          <wp:docPr descr="lalia_SLSK_CB" id="22" name="image1.jpg"/>
          <a:graphic>
            <a:graphicData uri="http://schemas.openxmlformats.org/drawingml/2006/picture">
              <pic:pic>
                <pic:nvPicPr>
                  <pic:cNvPr descr="lalia_SLSK_C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SLOVENSKÝ SKAUTING - ÚSTREDIE</w:t>
    </w:r>
  </w:p>
  <w:p w:rsidR="00000000" w:rsidDel="00000000" w:rsidP="00000000" w:rsidRDefault="00000000" w:rsidRPr="00000000" w14:paraId="000000C8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Mokrohájska cesta 6, 841 04  Bratislava, Tel.: +421 - 2 - 44 640 154, e-mail: ustredie@skauting.sk</w:t>
    </w:r>
  </w:p>
  <w:p w:rsidR="00000000" w:rsidDel="00000000" w:rsidP="00000000" w:rsidRDefault="00000000" w:rsidRPr="00000000" w14:paraId="000000C9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Bankové spojenie: Tatra banka, a.s. Bratislava, číslo účtu: 2660080180/1100, IČO: 00 598 721, DIČ: 2020795876</w:t>
    </w:r>
  </w:p>
  <w:p w:rsidR="00000000" w:rsidDel="00000000" w:rsidP="00000000" w:rsidRDefault="00000000" w:rsidRPr="00000000" w14:paraId="000000CA">
    <w:pPr>
      <w:ind w:right="-34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www.skauting.sk</w:t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tabs>
        <w:tab w:val="center" w:pos="4536"/>
        <w:tab w:val="right" w:pos="9072"/>
      </w:tabs>
      <w:spacing w:line="24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Interná smernica RpV č. XX – MODULY</w:t>
    </w:r>
  </w:p>
  <w:p w:rsidR="00000000" w:rsidDel="00000000" w:rsidP="00000000" w:rsidRDefault="00000000" w:rsidRPr="00000000" w14:paraId="000000CD">
    <w:pPr>
      <w:tabs>
        <w:tab w:val="center" w:pos="4536"/>
        <w:tab w:val="right" w:pos="9072"/>
      </w:tabs>
      <w:spacing w:line="24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verzia: XX</w:t>
    </w:r>
  </w:p>
  <w:p w:rsidR="00000000" w:rsidDel="00000000" w:rsidP="00000000" w:rsidRDefault="00000000" w:rsidRPr="00000000" w14:paraId="000000CE">
    <w:pPr>
      <w:tabs>
        <w:tab w:val="center" w:pos="4536"/>
        <w:tab w:val="right" w:pos="9072"/>
      </w:tabs>
      <w:spacing w:line="24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Strana č.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tabs>
        <w:tab w:val="center" w:pos="4536"/>
        <w:tab w:val="right" w:pos="9072"/>
      </w:tabs>
      <w:spacing w:line="240" w:lineRule="auto"/>
      <w:jc w:val="right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kauting.sk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YWzvc/bZXSe5fDC0UFfVpAu5Q==">AMUW2mWDLc+TlVMm8Zeg6Hm/Kq6941mcY5YLV6WtVmj49LD5mgKYnbqPG5H1+wPrbVtfQslJ7TzAMrxx31UdQTvsT37YsblYpSfjnOeMnSKaLUEgvxqDW6kOWqmsHIvTvkvGRV4+V11XK4OYfdlQ8V262r1iirx+dOPpuGuY/5SPuPaIWATUGoQ=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2021-11-18T01:44:00Z</dcterms:created>
</cp:coreProperties>
</file>